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1F5FEFC6" w:rsidR="0071767D" w:rsidRPr="0024653A" w:rsidRDefault="00C25351" w:rsidP="0071767D">
      <w:pPr>
        <w:tabs>
          <w:tab w:val="right" w:pos="9639"/>
        </w:tabs>
        <w:rPr>
          <w:rFonts w:ascii="Arial" w:hAnsi="Arial" w:cs="Arial"/>
          <w:b/>
          <w:sz w:val="24"/>
          <w:szCs w:val="24"/>
          <w:lang w:eastAsia="ko-KR"/>
        </w:rPr>
      </w:pPr>
      <w:r>
        <w:rPr>
          <w:rFonts w:ascii="Arial" w:hAnsi="Arial" w:cs="Arial"/>
          <w:b/>
          <w:sz w:val="24"/>
          <w:szCs w:val="24"/>
        </w:rPr>
        <w:t>3GPP TSG-RAN WG4 Meeting #107</w:t>
      </w:r>
      <w:r w:rsidR="0071767D" w:rsidRPr="0024653A">
        <w:rPr>
          <w:rFonts w:ascii="Arial" w:hAnsi="Arial" w:cs="Arial"/>
          <w:b/>
          <w:sz w:val="24"/>
          <w:szCs w:val="24"/>
        </w:rPr>
        <w:tab/>
      </w:r>
      <w:r w:rsidR="006535BF" w:rsidRPr="006535BF">
        <w:rPr>
          <w:rFonts w:ascii="Arial" w:hAnsi="Arial" w:cs="Arial"/>
          <w:b/>
          <w:sz w:val="24"/>
          <w:szCs w:val="24"/>
        </w:rPr>
        <w:t>R4-23</w:t>
      </w:r>
      <w:r w:rsidR="00236716">
        <w:rPr>
          <w:rFonts w:ascii="Arial" w:hAnsi="Arial" w:cs="Arial"/>
          <w:b/>
          <w:sz w:val="24"/>
          <w:szCs w:val="24"/>
        </w:rPr>
        <w:t>07156</w:t>
      </w:r>
    </w:p>
    <w:p w14:paraId="76B4917E" w14:textId="7347E42F" w:rsidR="0071767D" w:rsidRPr="0024653A" w:rsidRDefault="00B25D45" w:rsidP="0071767D">
      <w:pPr>
        <w:tabs>
          <w:tab w:val="left" w:pos="1985"/>
        </w:tabs>
        <w:spacing w:after="240"/>
        <w:ind w:left="1979" w:hanging="1979"/>
        <w:rPr>
          <w:rFonts w:ascii="Arial" w:hAnsi="Arial" w:cs="Arial"/>
          <w:b/>
          <w:sz w:val="24"/>
          <w:szCs w:val="24"/>
        </w:rPr>
      </w:pPr>
      <w:r w:rsidRPr="00B25D45">
        <w:rPr>
          <w:rFonts w:ascii="Arial" w:hAnsi="Arial" w:cs="Arial"/>
          <w:b/>
          <w:sz w:val="24"/>
          <w:szCs w:val="24"/>
        </w:rPr>
        <w:t>Incheon, KR, May 22 – May 26, 2023</w:t>
      </w:r>
      <w:r w:rsidR="0071767D" w:rsidRPr="0024653A">
        <w:rPr>
          <w:rFonts w:ascii="Arial" w:hAnsi="Arial" w:cs="Arial"/>
          <w:b/>
          <w:sz w:val="24"/>
          <w:szCs w:val="24"/>
        </w:rPr>
        <w:tab/>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6E27193F"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2E5F04" w:rsidRPr="002E5F04">
        <w:rPr>
          <w:rFonts w:ascii="Arial" w:eastAsia="MS Mincho" w:hAnsi="Arial" w:cs="Arial"/>
          <w:color w:val="000000"/>
          <w:kern w:val="0"/>
          <w:sz w:val="22"/>
          <w:szCs w:val="20"/>
          <w:lang w:val="en-GB" w:eastAsia="ja-JP"/>
        </w:rPr>
        <w:t>Discussion on Rel-18 Tx switching with single TAG</w:t>
      </w:r>
    </w:p>
    <w:p w14:paraId="77A5DDF9" w14:textId="3F527D18"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C25351">
        <w:rPr>
          <w:rFonts w:ascii="Arial" w:eastAsia="MS Mincho" w:hAnsi="Arial" w:cs="Arial"/>
          <w:color w:val="000000"/>
          <w:kern w:val="0"/>
          <w:sz w:val="22"/>
          <w:szCs w:val="20"/>
          <w:lang w:val="pt-BR" w:eastAsia="ja-JP"/>
        </w:rPr>
        <w:t>8</w:t>
      </w:r>
      <w:r w:rsidR="00AA70DF">
        <w:rPr>
          <w:rFonts w:ascii="Arial" w:eastAsia="MS Mincho" w:hAnsi="Arial" w:cs="Arial"/>
          <w:color w:val="000000"/>
          <w:kern w:val="0"/>
          <w:sz w:val="22"/>
          <w:szCs w:val="20"/>
          <w:lang w:val="pt-BR" w:eastAsia="ja-JP"/>
        </w:rPr>
        <w:t>.2</w:t>
      </w:r>
      <w:r w:rsidR="00EF3DDA">
        <w:rPr>
          <w:rFonts w:ascii="Arial" w:eastAsia="MS Mincho" w:hAnsi="Arial" w:cs="Arial"/>
          <w:color w:val="000000"/>
          <w:kern w:val="0"/>
          <w:sz w:val="22"/>
          <w:szCs w:val="20"/>
          <w:lang w:val="pt-BR" w:eastAsia="ja-JP"/>
        </w:rPr>
        <w:t>4</w:t>
      </w:r>
      <w:r w:rsidR="0071767D" w:rsidRPr="0071767D">
        <w:rPr>
          <w:rFonts w:ascii="Arial" w:eastAsia="MS Mincho" w:hAnsi="Arial" w:cs="Arial"/>
          <w:color w:val="000000"/>
          <w:kern w:val="0"/>
          <w:sz w:val="22"/>
          <w:szCs w:val="20"/>
          <w:lang w:val="pt-BR" w:eastAsia="ja-JP"/>
        </w:rPr>
        <w:t>.2.1</w:t>
      </w:r>
    </w:p>
    <w:p w14:paraId="314195EA" w14:textId="1B3D9C42"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9957D3">
      <w:pPr>
        <w:keepNext/>
        <w:keepLines/>
        <w:widowControl/>
        <w:pBdr>
          <w:top w:val="single" w:sz="12" w:space="1" w:color="auto"/>
        </w:pBdr>
        <w:tabs>
          <w:tab w:val="left" w:pos="567"/>
        </w:tabs>
        <w:adjustRightIn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327A8968" w14:textId="1036D013" w:rsidR="004C109A" w:rsidRPr="00174A0E" w:rsidRDefault="00F70CF3" w:rsidP="00DC131D">
      <w:pPr>
        <w:widowControl/>
        <w:overflowPunct w:val="0"/>
        <w:autoSpaceDE w:val="0"/>
        <w:autoSpaceDN w:val="0"/>
        <w:adjustRightInd w:val="0"/>
        <w:snapToGrid w:val="0"/>
        <w:spacing w:before="60" w:after="120"/>
        <w:textAlignment w:val="baseline"/>
        <w:rPr>
          <w:kern w:val="0"/>
          <w:sz w:val="20"/>
        </w:rPr>
      </w:pPr>
      <w:r w:rsidRPr="00174A0E">
        <w:rPr>
          <w:kern w:val="0"/>
          <w:sz w:val="20"/>
        </w:rPr>
        <w:t xml:space="preserve">In the </w:t>
      </w:r>
      <w:r w:rsidR="004C109A" w:rsidRPr="00174A0E">
        <w:rPr>
          <w:kern w:val="0"/>
          <w:sz w:val="20"/>
        </w:rPr>
        <w:t>contribution</w:t>
      </w:r>
      <w:r w:rsidRPr="00174A0E">
        <w:rPr>
          <w:kern w:val="0"/>
          <w:sz w:val="20"/>
        </w:rPr>
        <w:t>,</w:t>
      </w:r>
      <w:r w:rsidR="004C109A" w:rsidRPr="00174A0E">
        <w:rPr>
          <w:kern w:val="0"/>
          <w:sz w:val="20"/>
        </w:rPr>
        <w:t xml:space="preserve"> </w:t>
      </w:r>
      <w:r w:rsidR="004276A4" w:rsidRPr="00174A0E">
        <w:rPr>
          <w:kern w:val="0"/>
          <w:sz w:val="20"/>
        </w:rPr>
        <w:t xml:space="preserve">we further discuss the left </w:t>
      </w:r>
      <w:r w:rsidR="004276A4" w:rsidRPr="00174A0E">
        <w:rPr>
          <w:rFonts w:hint="eastAsia"/>
          <w:kern w:val="0"/>
          <w:sz w:val="20"/>
        </w:rPr>
        <w:t>open</w:t>
      </w:r>
      <w:r w:rsidR="004276A4" w:rsidRPr="00174A0E">
        <w:rPr>
          <w:kern w:val="0"/>
          <w:sz w:val="20"/>
        </w:rPr>
        <w:t xml:space="preserve"> </w:t>
      </w:r>
      <w:r w:rsidR="004C109A" w:rsidRPr="00174A0E">
        <w:rPr>
          <w:kern w:val="0"/>
          <w:sz w:val="20"/>
        </w:rPr>
        <w:t>issues</w:t>
      </w:r>
      <w:r w:rsidR="00DC131D" w:rsidRPr="00174A0E">
        <w:rPr>
          <w:kern w:val="0"/>
          <w:sz w:val="20"/>
        </w:rPr>
        <w:t xml:space="preserve"> on Rel-18 multi-carrier with single TAG</w:t>
      </w:r>
      <w:r w:rsidRPr="00174A0E">
        <w:rPr>
          <w:kern w:val="0"/>
          <w:sz w:val="20"/>
        </w:rPr>
        <w:t>.</w:t>
      </w:r>
    </w:p>
    <w:p w14:paraId="47B0DEB7" w14:textId="77777777"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7ACA3026" w14:textId="32AF7561" w:rsidR="00D5067E" w:rsidRDefault="00D5067E" w:rsidP="0024293B">
      <w:pPr>
        <w:snapToGrid w:val="0"/>
        <w:spacing w:beforeLines="100" w:before="312" w:after="120"/>
        <w:outlineLvl w:val="1"/>
        <w:rPr>
          <w:rFonts w:ascii="Arial" w:eastAsiaTheme="minorEastAsia" w:hAnsi="Arial" w:cstheme="minorBidi"/>
          <w:sz w:val="28"/>
          <w:szCs w:val="36"/>
        </w:rPr>
      </w:pPr>
      <w:r w:rsidRPr="00D5067E">
        <w:rPr>
          <w:rFonts w:ascii="Arial" w:eastAsiaTheme="minorEastAsia" w:hAnsi="Arial" w:cstheme="minorBidi"/>
          <w:sz w:val="28"/>
          <w:szCs w:val="36"/>
        </w:rPr>
        <w:t>2.</w:t>
      </w:r>
      <w:r w:rsidR="00B25D45">
        <w:rPr>
          <w:rFonts w:ascii="Arial" w:eastAsiaTheme="minorEastAsia" w:hAnsi="Arial" w:cstheme="minorBidi"/>
          <w:sz w:val="28"/>
          <w:szCs w:val="36"/>
        </w:rPr>
        <w:t>1</w:t>
      </w:r>
      <w:r w:rsidRPr="00D5067E">
        <w:rPr>
          <w:rFonts w:ascii="Arial" w:eastAsiaTheme="minorEastAsia" w:hAnsi="Arial" w:cstheme="minorBidi"/>
          <w:sz w:val="28"/>
          <w:szCs w:val="36"/>
        </w:rPr>
        <w:t xml:space="preserve">. </w:t>
      </w:r>
      <w:r w:rsidR="00D77F18">
        <w:rPr>
          <w:rFonts w:ascii="Arial" w:eastAsiaTheme="minorEastAsia" w:hAnsi="Arial" w:cstheme="minorBidi"/>
          <w:sz w:val="28"/>
          <w:szCs w:val="36"/>
        </w:rPr>
        <w:t>Two</w:t>
      </w:r>
      <w:r w:rsidR="00D77F18" w:rsidRPr="00D77F18">
        <w:rPr>
          <w:rFonts w:ascii="Arial" w:eastAsiaTheme="minorEastAsia" w:hAnsi="Arial" w:cstheme="minorBidi"/>
          <w:sz w:val="28"/>
          <w:szCs w:val="36"/>
        </w:rPr>
        <w:t xml:space="preserve"> Tx chains switched</w:t>
      </w:r>
      <w:r w:rsidR="006834B8">
        <w:rPr>
          <w:rFonts w:ascii="Arial" w:eastAsiaTheme="minorEastAsia" w:hAnsi="Arial" w:cstheme="minorBidi"/>
          <w:sz w:val="28"/>
          <w:szCs w:val="36"/>
        </w:rPr>
        <w:t xml:space="preserve"> sequentially</w:t>
      </w:r>
      <w:r w:rsidR="00D77F18" w:rsidRPr="00D77F18">
        <w:rPr>
          <w:rFonts w:ascii="Arial" w:eastAsiaTheme="minorEastAsia" w:hAnsi="Arial" w:cstheme="minorBidi"/>
          <w:sz w:val="28"/>
          <w:szCs w:val="36"/>
        </w:rPr>
        <w:t xml:space="preserve"> between two band pairs</w:t>
      </w:r>
    </w:p>
    <w:p w14:paraId="5720B0BA" w14:textId="486FB993" w:rsidR="0094214F" w:rsidRPr="005F156D" w:rsidRDefault="00384076" w:rsidP="00DE7054">
      <w:pPr>
        <w:snapToGrid w:val="0"/>
        <w:spacing w:after="120"/>
        <w:rPr>
          <w:sz w:val="20"/>
        </w:rPr>
      </w:pPr>
      <w:r w:rsidRPr="005F156D">
        <w:rPr>
          <w:sz w:val="20"/>
        </w:rPr>
        <w:t>In RAN4#106bis-e, it was proposed to re-visit the length of switching time given that the two Tx chains may execute switching sequentially for some UEs’ implementation with the following WF.</w:t>
      </w:r>
    </w:p>
    <w:tbl>
      <w:tblPr>
        <w:tblStyle w:val="aa"/>
        <w:tblW w:w="0" w:type="auto"/>
        <w:tblLook w:val="04A0" w:firstRow="1" w:lastRow="0" w:firstColumn="1" w:lastColumn="0" w:noHBand="0" w:noVBand="1"/>
      </w:tblPr>
      <w:tblGrid>
        <w:gridCol w:w="9628"/>
      </w:tblGrid>
      <w:tr w:rsidR="00C972E9" w14:paraId="41CBE6E7" w14:textId="77777777" w:rsidTr="00C972E9">
        <w:tc>
          <w:tcPr>
            <w:tcW w:w="9628" w:type="dxa"/>
          </w:tcPr>
          <w:p w14:paraId="5936980A" w14:textId="77777777" w:rsidR="00C972E9" w:rsidRPr="0094214F" w:rsidRDefault="00C972E9" w:rsidP="0094214F">
            <w:pPr>
              <w:pStyle w:val="4"/>
              <w:spacing w:after="0" w:line="300" w:lineRule="auto"/>
              <w:ind w:left="0" w:firstLine="0"/>
              <w:outlineLvl w:val="3"/>
              <w:rPr>
                <w:sz w:val="20"/>
                <w:szCs w:val="20"/>
              </w:rPr>
            </w:pPr>
            <w:r w:rsidRPr="0094214F">
              <w:rPr>
                <w:rFonts w:hint="eastAsia"/>
                <w:sz w:val="20"/>
                <w:szCs w:val="20"/>
              </w:rPr>
              <w:t>Issue</w:t>
            </w:r>
            <w:r w:rsidRPr="0094214F">
              <w:rPr>
                <w:sz w:val="20"/>
                <w:szCs w:val="20"/>
                <w:lang w:eastAsia="ko-KR"/>
              </w:rPr>
              <w:t xml:space="preserve"> 1-</w:t>
            </w:r>
            <w:r w:rsidRPr="0094214F">
              <w:rPr>
                <w:rFonts w:hint="eastAsia"/>
                <w:sz w:val="20"/>
                <w:szCs w:val="20"/>
              </w:rPr>
              <w:t>4</w:t>
            </w:r>
            <w:r w:rsidRPr="0094214F">
              <w:rPr>
                <w:rFonts w:hint="eastAsia"/>
                <w:sz w:val="20"/>
                <w:szCs w:val="20"/>
                <w:lang w:eastAsia="ko-KR"/>
              </w:rPr>
              <w:t>-1</w:t>
            </w:r>
            <w:r w:rsidRPr="0094214F">
              <w:rPr>
                <w:sz w:val="20"/>
                <w:szCs w:val="20"/>
                <w:lang w:eastAsia="ko-KR"/>
              </w:rPr>
              <w:t xml:space="preserve">: </w:t>
            </w:r>
            <w:r w:rsidRPr="0094214F">
              <w:rPr>
                <w:sz w:val="20"/>
                <w:szCs w:val="20"/>
              </w:rPr>
              <w:t>Switching case across four bands, i.e., {1T, 1T, 0T, 0T} to {0T, 0T, 1T, 1T}</w:t>
            </w:r>
          </w:p>
          <w:p w14:paraId="1E738CD4" w14:textId="77777777" w:rsidR="00C972E9" w:rsidRPr="0094214F" w:rsidRDefault="00C972E9" w:rsidP="0094214F">
            <w:pPr>
              <w:snapToGrid w:val="0"/>
              <w:spacing w:before="0" w:line="300" w:lineRule="auto"/>
              <w:rPr>
                <w:rFonts w:eastAsiaTheme="minorEastAsia"/>
                <w:bCs/>
                <w:lang w:val="en-US" w:eastAsia="zh-CN"/>
              </w:rPr>
            </w:pPr>
            <w:r w:rsidRPr="0094214F">
              <w:rPr>
                <w:rFonts w:eastAsiaTheme="minorEastAsia" w:hint="eastAsia"/>
                <w:bCs/>
                <w:lang w:val="en-US" w:eastAsia="zh-CN"/>
              </w:rPr>
              <w:t xml:space="preserve">Way </w:t>
            </w:r>
            <w:r w:rsidRPr="0094214F">
              <w:rPr>
                <w:rFonts w:eastAsiaTheme="minorEastAsia"/>
                <w:bCs/>
                <w:lang w:val="en-US" w:eastAsia="zh-CN"/>
              </w:rPr>
              <w:t>forward</w:t>
            </w:r>
            <w:r w:rsidRPr="0094214F">
              <w:rPr>
                <w:rFonts w:eastAsiaTheme="minorEastAsia" w:hint="eastAsia"/>
                <w:bCs/>
                <w:lang w:val="en-US" w:eastAsia="zh-CN"/>
              </w:rPr>
              <w:t xml:space="preserve"> after round 2 </w:t>
            </w:r>
            <w:r w:rsidRPr="0094214F">
              <w:rPr>
                <w:rFonts w:eastAsiaTheme="minorEastAsia"/>
                <w:bCs/>
                <w:lang w:val="en-US" w:eastAsia="zh-CN"/>
              </w:rPr>
              <w:t>discussion</w:t>
            </w:r>
            <w:r w:rsidRPr="0094214F">
              <w:rPr>
                <w:rFonts w:eastAsiaTheme="minorEastAsia" w:hint="eastAsia"/>
                <w:bCs/>
                <w:lang w:val="en-US" w:eastAsia="zh-CN"/>
              </w:rPr>
              <w:t>:</w:t>
            </w:r>
          </w:p>
          <w:p w14:paraId="51EE68A5" w14:textId="77777777" w:rsidR="00C972E9" w:rsidRPr="0094214F" w:rsidRDefault="00C972E9" w:rsidP="0094214F">
            <w:pPr>
              <w:pStyle w:val="a7"/>
              <w:widowControl/>
              <w:numPr>
                <w:ilvl w:val="0"/>
                <w:numId w:val="8"/>
              </w:numPr>
              <w:snapToGrid w:val="0"/>
              <w:spacing w:before="0" w:line="300" w:lineRule="auto"/>
              <w:ind w:left="284" w:firstLineChars="0" w:hanging="284"/>
              <w:jc w:val="left"/>
              <w:rPr>
                <w:b/>
                <w:lang w:eastAsia="zh-CN"/>
              </w:rPr>
            </w:pPr>
            <w:r w:rsidRPr="0094214F">
              <w:rPr>
                <w:rFonts w:hint="eastAsia"/>
                <w:lang w:eastAsia="zh-CN"/>
              </w:rPr>
              <w:t>Further discuss in the next meeting:</w:t>
            </w:r>
          </w:p>
          <w:p w14:paraId="423174A8" w14:textId="6F1B9131" w:rsidR="00C972E9" w:rsidRPr="0094214F" w:rsidRDefault="0094214F" w:rsidP="0094214F">
            <w:pPr>
              <w:numPr>
                <w:ilvl w:val="1"/>
                <w:numId w:val="7"/>
              </w:numPr>
              <w:tabs>
                <w:tab w:val="num" w:pos="484"/>
                <w:tab w:val="num" w:pos="709"/>
                <w:tab w:val="num" w:pos="1440"/>
                <w:tab w:val="num" w:pos="1701"/>
              </w:tabs>
              <w:overflowPunct w:val="0"/>
              <w:autoSpaceDE w:val="0"/>
              <w:autoSpaceDN w:val="0"/>
              <w:adjustRightInd w:val="0"/>
              <w:snapToGrid w:val="0"/>
              <w:spacing w:before="0" w:line="300" w:lineRule="auto"/>
              <w:ind w:leftChars="177" w:left="640" w:hangingChars="134" w:hanging="268"/>
              <w:jc w:val="left"/>
              <w:textAlignment w:val="baseline"/>
              <w:rPr>
                <w:rFonts w:eastAsiaTheme="minorEastAsia"/>
                <w:bCs/>
                <w:lang w:eastAsia="zh-CN"/>
              </w:rPr>
            </w:pPr>
            <w:r>
              <w:rPr>
                <w:rFonts w:eastAsiaTheme="minorEastAsia"/>
                <w:bCs/>
                <w:lang w:eastAsia="zh-CN"/>
              </w:rPr>
              <w:t xml:space="preserve"> </w:t>
            </w:r>
            <w:r w:rsidR="00C972E9" w:rsidRPr="0094214F">
              <w:rPr>
                <w:rFonts w:eastAsiaTheme="minorEastAsia"/>
                <w:bCs/>
                <w:lang w:eastAsia="zh-CN"/>
              </w:rPr>
              <w:t xml:space="preserve">Option </w:t>
            </w:r>
            <w:r w:rsidR="00C972E9" w:rsidRPr="0094214F">
              <w:rPr>
                <w:rFonts w:eastAsiaTheme="minorEastAsia" w:hint="eastAsia"/>
                <w:bCs/>
                <w:lang w:eastAsia="zh-CN"/>
              </w:rPr>
              <w:t>A</w:t>
            </w:r>
            <w:r w:rsidR="00C972E9" w:rsidRPr="0094214F">
              <w:rPr>
                <w:rFonts w:eastAsiaTheme="minorEastAsia"/>
                <w:bCs/>
                <w:lang w:eastAsia="zh-CN"/>
              </w:rPr>
              <w:t>: A</w:t>
            </w:r>
            <w:r w:rsidR="00C972E9" w:rsidRPr="0094214F">
              <w:rPr>
                <w:rFonts w:eastAsiaTheme="minorEastAsia" w:hint="eastAsia"/>
                <w:bCs/>
                <w:lang w:eastAsia="zh-CN"/>
              </w:rPr>
              <w:t xml:space="preserve">s optional UE </w:t>
            </w:r>
            <w:r w:rsidR="00C972E9" w:rsidRPr="0094214F">
              <w:rPr>
                <w:rFonts w:eastAsiaTheme="minorEastAsia"/>
                <w:bCs/>
                <w:lang w:eastAsia="zh-CN"/>
              </w:rPr>
              <w:t>behaviour</w:t>
            </w:r>
            <w:r w:rsidR="00C972E9" w:rsidRPr="0094214F">
              <w:rPr>
                <w:rFonts w:eastAsiaTheme="minorEastAsia" w:hint="eastAsia"/>
                <w:bCs/>
                <w:lang w:eastAsia="zh-CN"/>
              </w:rPr>
              <w:t xml:space="preserve">, </w:t>
            </w:r>
            <w:r w:rsidR="00C972E9" w:rsidRPr="0094214F">
              <w:rPr>
                <w:rFonts w:eastAsiaTheme="minorEastAsia" w:hint="eastAsia"/>
                <w:lang w:val="en-US" w:eastAsia="zh-CN"/>
              </w:rPr>
              <w:t>t</w:t>
            </w:r>
            <w:r w:rsidR="00C972E9" w:rsidRPr="0094214F">
              <w:rPr>
                <w:rFonts w:eastAsia="PMingLiU"/>
                <w:lang w:val="en-US" w:eastAsia="zh-TW"/>
              </w:rPr>
              <w:t xml:space="preserve">otal switching period </w:t>
            </w:r>
            <w:r w:rsidR="00C972E9" w:rsidRPr="0094214F">
              <w:rPr>
                <w:rFonts w:eastAsiaTheme="minorEastAsia" w:hint="eastAsia"/>
                <w:lang w:val="en-US" w:eastAsia="zh-CN"/>
              </w:rPr>
              <w:t>can be</w:t>
            </w:r>
            <w:r w:rsidR="00C972E9" w:rsidRPr="0094214F">
              <w:rPr>
                <w:rFonts w:eastAsia="PMingLiU"/>
                <w:lang w:val="en-US" w:eastAsia="zh-TW"/>
              </w:rPr>
              <w:t xml:space="preserve"> exten</w:t>
            </w:r>
            <w:r w:rsidR="00C972E9" w:rsidRPr="0094214F">
              <w:rPr>
                <w:rFonts w:eastAsiaTheme="minorEastAsia" w:hint="eastAsia"/>
                <w:lang w:val="en-US" w:eastAsia="zh-CN"/>
              </w:rPr>
              <w:t>ded</w:t>
            </w:r>
            <w:r w:rsidR="00C972E9" w:rsidRPr="0094214F">
              <w:rPr>
                <w:rFonts w:eastAsia="PMingLiU"/>
                <w:lang w:val="en-US" w:eastAsia="zh-TW"/>
              </w:rPr>
              <w:t xml:space="preserve"> if UE is not capable for concurrent </w:t>
            </w:r>
            <w:r w:rsidR="00C972E9" w:rsidRPr="0094214F">
              <w:rPr>
                <w:lang w:eastAsia="zh-CN"/>
              </w:rPr>
              <w:t>TX</w:t>
            </w:r>
            <w:r w:rsidR="00C972E9" w:rsidRPr="0094214F">
              <w:rPr>
                <w:rFonts w:eastAsia="PMingLiU"/>
                <w:lang w:val="en-US" w:eastAsia="zh-TW"/>
              </w:rPr>
              <w:t xml:space="preserve"> switching on the two TX chains.</w:t>
            </w:r>
            <w:r w:rsidR="00C972E9" w:rsidRPr="0094214F">
              <w:rPr>
                <w:rFonts w:eastAsiaTheme="minorEastAsia" w:hint="eastAsia"/>
                <w:lang w:val="en-US" w:eastAsia="zh-CN"/>
              </w:rPr>
              <w:t xml:space="preserve"> </w:t>
            </w:r>
          </w:p>
          <w:p w14:paraId="7E552E63" w14:textId="77777777" w:rsidR="00C972E9" w:rsidRPr="0094214F" w:rsidRDefault="00C972E9" w:rsidP="0094214F">
            <w:pPr>
              <w:numPr>
                <w:ilvl w:val="2"/>
                <w:numId w:val="10"/>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before="0" w:line="300" w:lineRule="auto"/>
              <w:ind w:left="1021" w:hanging="227"/>
              <w:jc w:val="left"/>
              <w:textAlignment w:val="baseline"/>
              <w:rPr>
                <w:rFonts w:eastAsiaTheme="minorEastAsia"/>
                <w:bCs/>
                <w:lang w:eastAsia="zh-CN"/>
              </w:rPr>
            </w:pPr>
            <w:r w:rsidRPr="0094214F">
              <w:rPr>
                <w:rFonts w:eastAsiaTheme="minorEastAsia" w:hint="eastAsia"/>
                <w:bCs/>
                <w:lang w:eastAsia="zh-CN"/>
              </w:rPr>
              <w:t>O</w:t>
            </w:r>
            <w:r w:rsidRPr="0094214F">
              <w:rPr>
                <w:rFonts w:eastAsiaTheme="minorEastAsia"/>
                <w:bCs/>
                <w:lang w:eastAsia="zh-CN"/>
              </w:rPr>
              <w:t>p</w:t>
            </w:r>
            <w:r w:rsidRPr="0094214F">
              <w:rPr>
                <w:rFonts w:eastAsiaTheme="minorEastAsia" w:hint="eastAsia"/>
                <w:bCs/>
                <w:lang w:eastAsia="zh-CN"/>
              </w:rPr>
              <w:t>tion A1: a</w:t>
            </w:r>
            <w:r w:rsidRPr="0094214F">
              <w:rPr>
                <w:rFonts w:eastAsiaTheme="minorEastAsia"/>
                <w:bCs/>
                <w:lang w:eastAsia="zh-CN"/>
              </w:rPr>
              <w:t>dd new values {70, 175} usec in</w:t>
            </w:r>
            <w:r w:rsidRPr="0094214F">
              <w:rPr>
                <w:rFonts w:eastAsiaTheme="minorEastAsia" w:hint="eastAsia"/>
                <w:bCs/>
                <w:lang w:eastAsia="zh-CN"/>
              </w:rPr>
              <w:t xml:space="preserve"> addition to</w:t>
            </w:r>
            <w:r w:rsidRPr="0094214F">
              <w:rPr>
                <w:rFonts w:eastAsiaTheme="minorEastAsia"/>
                <w:bCs/>
                <w:lang w:eastAsia="zh-CN"/>
              </w:rPr>
              <w:t xml:space="preserve"> the agreed set</w:t>
            </w:r>
            <w:r w:rsidRPr="0094214F">
              <w:rPr>
                <w:rFonts w:eastAsiaTheme="minorEastAsia" w:hint="eastAsia"/>
                <w:bCs/>
                <w:lang w:eastAsia="zh-CN"/>
              </w:rPr>
              <w:t xml:space="preserve"> of </w:t>
            </w:r>
            <w:r w:rsidRPr="0094214F">
              <w:rPr>
                <w:rFonts w:eastAsia="Yu Mincho"/>
                <w:bCs/>
                <w:iCs/>
                <w:lang w:val="en-US"/>
              </w:rPr>
              <w:t>{35 us, 140 us, 210 us}</w:t>
            </w:r>
            <w:r w:rsidRPr="0094214F">
              <w:rPr>
                <w:rFonts w:eastAsiaTheme="minorEastAsia"/>
                <w:bCs/>
                <w:lang w:eastAsia="zh-CN"/>
              </w:rPr>
              <w:t xml:space="preserve"> </w:t>
            </w:r>
          </w:p>
          <w:p w14:paraId="32569143" w14:textId="77777777" w:rsidR="00C972E9" w:rsidRPr="0094214F" w:rsidRDefault="00C972E9" w:rsidP="0094214F">
            <w:pPr>
              <w:numPr>
                <w:ilvl w:val="2"/>
                <w:numId w:val="10"/>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before="0" w:line="300" w:lineRule="auto"/>
              <w:ind w:left="1021" w:hanging="227"/>
              <w:jc w:val="left"/>
              <w:textAlignment w:val="baseline"/>
              <w:rPr>
                <w:rFonts w:eastAsiaTheme="minorEastAsia"/>
                <w:bCs/>
                <w:lang w:eastAsia="zh-CN"/>
              </w:rPr>
            </w:pPr>
            <w:r w:rsidRPr="0094214F">
              <w:rPr>
                <w:rFonts w:eastAsiaTheme="minorEastAsia"/>
                <w:bCs/>
                <w:lang w:eastAsia="zh-CN"/>
              </w:rPr>
              <w:t xml:space="preserve">Option </w:t>
            </w:r>
            <w:r w:rsidRPr="0094214F">
              <w:rPr>
                <w:rFonts w:eastAsiaTheme="minorEastAsia" w:hint="eastAsia"/>
                <w:bCs/>
                <w:lang w:eastAsia="zh-CN"/>
              </w:rPr>
              <w:t>A</w:t>
            </w:r>
            <w:r w:rsidRPr="0094214F">
              <w:rPr>
                <w:rFonts w:eastAsiaTheme="minorEastAsia"/>
                <w:bCs/>
                <w:lang w:eastAsia="zh-CN"/>
              </w:rPr>
              <w:t>2: Sum of two switching periods</w:t>
            </w:r>
            <w:r w:rsidRPr="0094214F">
              <w:rPr>
                <w:rFonts w:eastAsiaTheme="minorEastAsia" w:hint="eastAsia"/>
                <w:bCs/>
                <w:lang w:eastAsia="zh-CN"/>
              </w:rPr>
              <w:t xml:space="preserve"> </w:t>
            </w:r>
          </w:p>
          <w:p w14:paraId="5C764F45" w14:textId="3E0F8E55" w:rsidR="00C972E9" w:rsidRPr="0094214F" w:rsidRDefault="00C972E9" w:rsidP="0094214F">
            <w:pPr>
              <w:numPr>
                <w:ilvl w:val="1"/>
                <w:numId w:val="10"/>
              </w:numPr>
              <w:tabs>
                <w:tab w:val="left" w:pos="484"/>
                <w:tab w:val="left" w:pos="709"/>
                <w:tab w:val="left" w:pos="851"/>
                <w:tab w:val="left" w:pos="1305"/>
                <w:tab w:val="left" w:pos="1440"/>
                <w:tab w:val="left" w:pos="1800"/>
                <w:tab w:val="left" w:pos="2160"/>
              </w:tabs>
              <w:overflowPunct w:val="0"/>
              <w:autoSpaceDE w:val="0"/>
              <w:autoSpaceDN w:val="0"/>
              <w:adjustRightInd w:val="0"/>
              <w:snapToGrid w:val="0"/>
              <w:spacing w:before="0" w:after="120" w:line="300" w:lineRule="auto"/>
              <w:ind w:hanging="1202"/>
              <w:jc w:val="left"/>
              <w:textAlignment w:val="baseline"/>
              <w:rPr>
                <w:rStyle w:val="ab"/>
                <w:rFonts w:eastAsiaTheme="minorEastAsia"/>
                <w:bCs/>
                <w:lang w:eastAsia="zh-CN"/>
              </w:rPr>
            </w:pPr>
            <w:r w:rsidRPr="0094214F">
              <w:rPr>
                <w:rFonts w:eastAsiaTheme="minorEastAsia"/>
                <w:bCs/>
                <w:lang w:eastAsia="zh-CN"/>
              </w:rPr>
              <w:t xml:space="preserve">Option </w:t>
            </w:r>
            <w:r w:rsidRPr="0094214F">
              <w:rPr>
                <w:rFonts w:eastAsiaTheme="minorEastAsia" w:hint="eastAsia"/>
                <w:bCs/>
                <w:lang w:eastAsia="zh-CN"/>
              </w:rPr>
              <w:t>B</w:t>
            </w:r>
            <w:r w:rsidRPr="0094214F">
              <w:rPr>
                <w:rFonts w:eastAsiaTheme="minorEastAsia"/>
                <w:bCs/>
                <w:lang w:eastAsia="zh-CN"/>
              </w:rPr>
              <w:t>:</w:t>
            </w:r>
            <w:r w:rsidRPr="0094214F">
              <w:rPr>
                <w:rFonts w:eastAsiaTheme="minorEastAsia" w:hint="eastAsia"/>
                <w:bCs/>
                <w:lang w:eastAsia="zh-CN"/>
              </w:rPr>
              <w:t xml:space="preserve"> Keep the previous agreements</w:t>
            </w:r>
          </w:p>
        </w:tc>
      </w:tr>
    </w:tbl>
    <w:p w14:paraId="747FD88D" w14:textId="0D50A67E" w:rsidR="00C972E9" w:rsidRPr="005F156D" w:rsidRDefault="00C972E9" w:rsidP="009D3200">
      <w:pPr>
        <w:snapToGrid w:val="0"/>
        <w:spacing w:before="120" w:after="120"/>
        <w:rPr>
          <w:rStyle w:val="ab"/>
          <w:sz w:val="20"/>
        </w:rPr>
      </w:pPr>
      <w:r w:rsidRPr="005F156D">
        <w:rPr>
          <w:rStyle w:val="ab"/>
          <w:sz w:val="20"/>
        </w:rPr>
        <w:t>At the very first meeting discussing Rel-18 multicarrier</w:t>
      </w:r>
      <w:r w:rsidR="00384076" w:rsidRPr="005F156D">
        <w:rPr>
          <w:rStyle w:val="ab"/>
          <w:sz w:val="20"/>
        </w:rPr>
        <w:t xml:space="preserve"> in RAN4</w:t>
      </w:r>
      <w:r w:rsidRPr="005F156D">
        <w:rPr>
          <w:rStyle w:val="ab"/>
          <w:sz w:val="20"/>
        </w:rPr>
        <w:t xml:space="preserve">, it was agreed and included in the LS to other working groups in </w:t>
      </w:r>
      <w:r w:rsidR="00AA37CB">
        <w:rPr>
          <w:rStyle w:val="ab"/>
          <w:sz w:val="20"/>
        </w:rPr>
        <w:t>[1]</w:t>
      </w:r>
      <w:r w:rsidRPr="005F156D">
        <w:rPr>
          <w:rStyle w:val="ab"/>
          <w:sz w:val="20"/>
        </w:rPr>
        <w:t xml:space="preserve"> to reuse the same set of sw</w:t>
      </w:r>
      <w:r w:rsidR="009D3200" w:rsidRPr="005F156D">
        <w:rPr>
          <w:rStyle w:val="ab"/>
          <w:sz w:val="20"/>
        </w:rPr>
        <w:t>itching</w:t>
      </w:r>
      <w:r w:rsidRPr="005F156D">
        <w:rPr>
          <w:rStyle w:val="ab"/>
          <w:sz w:val="20"/>
        </w:rPr>
        <w:t xml:space="preserve"> period value</w:t>
      </w:r>
      <w:r w:rsidR="009D3200" w:rsidRPr="005F156D">
        <w:rPr>
          <w:rStyle w:val="ab"/>
          <w:sz w:val="20"/>
        </w:rPr>
        <w:t xml:space="preserve"> as Rel-16/17</w:t>
      </w:r>
      <w:r w:rsidRPr="005F156D">
        <w:rPr>
          <w:rStyle w:val="ab"/>
          <w:sz w:val="20"/>
        </w:rPr>
        <w:t xml:space="preserve">: </w:t>
      </w:r>
    </w:p>
    <w:tbl>
      <w:tblPr>
        <w:tblStyle w:val="aa"/>
        <w:tblW w:w="0" w:type="auto"/>
        <w:tblLook w:val="04A0" w:firstRow="1" w:lastRow="0" w:firstColumn="1" w:lastColumn="0" w:noHBand="0" w:noVBand="1"/>
      </w:tblPr>
      <w:tblGrid>
        <w:gridCol w:w="9628"/>
      </w:tblGrid>
      <w:tr w:rsidR="00C972E9" w14:paraId="64A20CD1" w14:textId="77777777" w:rsidTr="00C168AA">
        <w:tc>
          <w:tcPr>
            <w:tcW w:w="9628" w:type="dxa"/>
          </w:tcPr>
          <w:p w14:paraId="67A38E55" w14:textId="77777777" w:rsidR="00C972E9" w:rsidRPr="0094214F" w:rsidRDefault="00C972E9" w:rsidP="00143F40">
            <w:pPr>
              <w:snapToGrid w:val="0"/>
              <w:spacing w:line="240" w:lineRule="auto"/>
              <w:rPr>
                <w:b/>
                <w:bCs/>
                <w:iCs/>
                <w:lang w:val="en-US" w:eastAsia="zh-CN"/>
              </w:rPr>
            </w:pPr>
            <w:r w:rsidRPr="0094214F">
              <w:rPr>
                <w:rFonts w:eastAsia="Yu Mincho"/>
                <w:b/>
                <w:bCs/>
                <w:iCs/>
                <w:lang w:val="en-US" w:eastAsia="ja-JP"/>
              </w:rPr>
              <w:t xml:space="preserve">RAN4 Answer: </w:t>
            </w:r>
          </w:p>
          <w:p w14:paraId="08984F7D" w14:textId="77777777" w:rsidR="00C972E9" w:rsidRPr="0094214F" w:rsidRDefault="00C972E9" w:rsidP="009D3200">
            <w:pPr>
              <w:snapToGrid w:val="0"/>
              <w:spacing w:before="0" w:line="300" w:lineRule="auto"/>
              <w:rPr>
                <w:b/>
                <w:bCs/>
                <w:iCs/>
                <w:lang w:val="en-US" w:eastAsia="zh-CN"/>
              </w:rPr>
            </w:pPr>
            <w:r w:rsidRPr="0094214F">
              <w:rPr>
                <w:b/>
                <w:bCs/>
                <w:iCs/>
                <w:lang w:val="en-US" w:eastAsia="zh-CN"/>
              </w:rPr>
              <w:t>Agreement:</w:t>
            </w:r>
          </w:p>
          <w:p w14:paraId="562E2482" w14:textId="77777777" w:rsidR="00C972E9" w:rsidRPr="0094214F" w:rsidRDefault="00C972E9" w:rsidP="009D3200">
            <w:pPr>
              <w:snapToGrid w:val="0"/>
              <w:spacing w:before="0" w:line="300" w:lineRule="auto"/>
              <w:rPr>
                <w:bCs/>
                <w:iCs/>
                <w:lang w:val="en-US" w:eastAsia="zh-CN"/>
              </w:rPr>
            </w:pPr>
            <w:r w:rsidRPr="0094214F">
              <w:rPr>
                <w:bCs/>
                <w:iCs/>
                <w:lang w:val="en-US" w:eastAsia="zh-CN"/>
              </w:rPr>
              <w:t>On the length of switching period:</w:t>
            </w:r>
          </w:p>
          <w:p w14:paraId="433B6E9C" w14:textId="77777777" w:rsidR="00C972E9" w:rsidRPr="0094214F" w:rsidRDefault="00C972E9" w:rsidP="009D3200">
            <w:pPr>
              <w:widowControl/>
              <w:numPr>
                <w:ilvl w:val="0"/>
                <w:numId w:val="9"/>
              </w:numPr>
              <w:tabs>
                <w:tab w:val="num" w:pos="426"/>
                <w:tab w:val="num" w:pos="1440"/>
                <w:tab w:val="center" w:pos="4153"/>
                <w:tab w:val="right" w:pos="8306"/>
              </w:tabs>
              <w:snapToGrid w:val="0"/>
              <w:spacing w:before="0" w:line="300" w:lineRule="auto"/>
              <w:ind w:leftChars="71" w:left="429" w:hangingChars="140" w:hanging="280"/>
              <w:jc w:val="left"/>
              <w:rPr>
                <w:rFonts w:eastAsia="Yu Mincho"/>
                <w:bCs/>
                <w:iCs/>
                <w:lang w:val="en-US" w:eastAsia="ja-JP"/>
              </w:rPr>
            </w:pPr>
            <w:r w:rsidRPr="0094214F">
              <w:rPr>
                <w:bCs/>
                <w:iCs/>
                <w:lang w:val="en-US" w:eastAsia="zh-CN"/>
              </w:rPr>
              <w:t>For</w:t>
            </w:r>
            <w:r w:rsidRPr="0094214F">
              <w:rPr>
                <w:rFonts w:eastAsia="Yu Mincho"/>
                <w:bCs/>
                <w:iCs/>
                <w:lang w:val="en-US" w:eastAsia="ja-JP"/>
              </w:rPr>
              <w:t xml:space="preserve"> UL switching period </w:t>
            </w:r>
            <w:r w:rsidRPr="0094214F">
              <w:rPr>
                <w:bCs/>
                <w:iCs/>
                <w:lang w:val="en-US" w:eastAsia="zh-CN"/>
              </w:rPr>
              <w:t xml:space="preserve">with </w:t>
            </w:r>
            <w:r w:rsidRPr="0094214F">
              <w:rPr>
                <w:rFonts w:eastAsia="Yu Mincho"/>
                <w:bCs/>
                <w:iCs/>
                <w:lang w:val="en-US" w:eastAsia="ja-JP"/>
              </w:rPr>
              <w:t>Tx switching across 3 or 4 bands</w:t>
            </w:r>
            <w:r w:rsidRPr="0094214F">
              <w:rPr>
                <w:bCs/>
                <w:iCs/>
                <w:lang w:val="en-US" w:eastAsia="zh-CN"/>
              </w:rPr>
              <w:t>,</w:t>
            </w:r>
            <w:r w:rsidRPr="0094214F">
              <w:rPr>
                <w:rFonts w:eastAsia="Yu Mincho"/>
                <w:bCs/>
                <w:iCs/>
                <w:lang w:val="en-US" w:eastAsia="ja-JP"/>
              </w:rPr>
              <w:t xml:space="preserve"> </w:t>
            </w:r>
            <w:r w:rsidRPr="0094214F">
              <w:rPr>
                <w:bCs/>
                <w:iCs/>
                <w:lang w:val="en-US" w:eastAsia="zh-CN"/>
              </w:rPr>
              <w:t>RAN4 agreed to r</w:t>
            </w:r>
            <w:r w:rsidRPr="0094214F">
              <w:rPr>
                <w:rFonts w:eastAsia="Yu Mincho"/>
                <w:bCs/>
                <w:iCs/>
                <w:lang w:val="en-US" w:eastAsia="ja-JP"/>
              </w:rPr>
              <w:t>euse the same set of values as in Rel-16/17, i.e</w:t>
            </w:r>
            <w:r w:rsidRPr="0094214F">
              <w:rPr>
                <w:bCs/>
                <w:iCs/>
                <w:lang w:val="en-US" w:eastAsia="zh-CN"/>
              </w:rPr>
              <w:t>.</w:t>
            </w:r>
            <w:r w:rsidRPr="0094214F">
              <w:rPr>
                <w:rFonts w:eastAsia="Yu Mincho"/>
                <w:bCs/>
                <w:iCs/>
                <w:lang w:val="en-US" w:eastAsia="ja-JP"/>
              </w:rPr>
              <w:t>, {35 us, 140 us, 210 us} for UL CA and SUL</w:t>
            </w:r>
            <w:r w:rsidRPr="0094214F">
              <w:rPr>
                <w:bCs/>
                <w:iCs/>
                <w:lang w:val="en-US" w:eastAsia="zh-CN"/>
              </w:rPr>
              <w:t>.</w:t>
            </w:r>
          </w:p>
          <w:p w14:paraId="5A0F3947" w14:textId="77777777" w:rsidR="00C972E9" w:rsidRPr="0094214F" w:rsidRDefault="00C972E9" w:rsidP="009D3200">
            <w:pPr>
              <w:widowControl/>
              <w:numPr>
                <w:ilvl w:val="0"/>
                <w:numId w:val="9"/>
              </w:numPr>
              <w:tabs>
                <w:tab w:val="num" w:pos="426"/>
                <w:tab w:val="num" w:pos="1440"/>
                <w:tab w:val="center" w:pos="4153"/>
                <w:tab w:val="right" w:pos="8306"/>
              </w:tabs>
              <w:snapToGrid w:val="0"/>
              <w:spacing w:before="0" w:line="300" w:lineRule="auto"/>
              <w:ind w:leftChars="71" w:left="429" w:hangingChars="140" w:hanging="280"/>
              <w:jc w:val="left"/>
              <w:rPr>
                <w:bCs/>
                <w:iCs/>
                <w:lang w:val="en-US" w:eastAsia="zh-CN"/>
              </w:rPr>
            </w:pPr>
            <w:r w:rsidRPr="0094214F">
              <w:rPr>
                <w:bCs/>
                <w:iCs/>
                <w:lang w:val="en-US" w:eastAsia="zh-CN"/>
              </w:rPr>
              <w:t xml:space="preserve">The length of switching period is applied per band pair for each band combination. </w:t>
            </w:r>
          </w:p>
          <w:p w14:paraId="15153422" w14:textId="77777777" w:rsidR="00C972E9" w:rsidRPr="0094214F" w:rsidRDefault="00C972E9" w:rsidP="009D3200">
            <w:pPr>
              <w:widowControl/>
              <w:numPr>
                <w:ilvl w:val="0"/>
                <w:numId w:val="9"/>
              </w:numPr>
              <w:tabs>
                <w:tab w:val="num" w:pos="426"/>
                <w:tab w:val="num" w:pos="1440"/>
                <w:tab w:val="center" w:pos="4153"/>
                <w:tab w:val="right" w:pos="8306"/>
              </w:tabs>
              <w:snapToGrid w:val="0"/>
              <w:spacing w:before="0" w:line="300" w:lineRule="auto"/>
              <w:ind w:leftChars="71" w:left="429" w:hangingChars="140" w:hanging="280"/>
              <w:jc w:val="left"/>
              <w:rPr>
                <w:bCs/>
                <w:iCs/>
                <w:lang w:val="en-US" w:eastAsia="zh-CN"/>
              </w:rPr>
            </w:pPr>
            <w:r w:rsidRPr="0094214F">
              <w:rPr>
                <w:bCs/>
                <w:iCs/>
                <w:lang w:val="en-US" w:eastAsia="zh-CN"/>
              </w:rPr>
              <w:t>For each band pair, the switching period can be the same or different for 1Tx-2Tx switching and 2Tx-2Tx switching based on UE reporting, which is similar as in Rel-17.</w:t>
            </w:r>
          </w:p>
          <w:p w14:paraId="18392DE3" w14:textId="4920DA38" w:rsidR="00C972E9" w:rsidRPr="009D3200" w:rsidRDefault="00C972E9" w:rsidP="009D3200">
            <w:pPr>
              <w:widowControl/>
              <w:numPr>
                <w:ilvl w:val="1"/>
                <w:numId w:val="9"/>
              </w:numPr>
              <w:tabs>
                <w:tab w:val="center" w:pos="851"/>
                <w:tab w:val="right" w:pos="8306"/>
              </w:tabs>
              <w:adjustRightInd w:val="0"/>
              <w:snapToGrid w:val="0"/>
              <w:spacing w:before="0" w:after="120" w:line="300" w:lineRule="auto"/>
              <w:ind w:left="839" w:hanging="272"/>
              <w:jc w:val="left"/>
              <w:rPr>
                <w:rStyle w:val="ab"/>
                <w:bCs/>
                <w:iCs/>
                <w:sz w:val="20"/>
                <w:szCs w:val="20"/>
                <w:lang w:val="en-US" w:eastAsia="zh-CN"/>
              </w:rPr>
            </w:pPr>
            <w:r w:rsidRPr="0094214F">
              <w:rPr>
                <w:bCs/>
                <w:iCs/>
                <w:lang w:val="en-US" w:eastAsia="zh-CN"/>
              </w:rPr>
              <w:t>Note: For UE reporting different periods for 1Tx-2Tx switching and 2Tx-2Tx switching for a band pair, similar to Rel-17, it is RAN4 understanding that the 2Tx-2Tx switching period is applied when 2Tx-2Tx switching mode is configured.</w:t>
            </w:r>
          </w:p>
        </w:tc>
      </w:tr>
    </w:tbl>
    <w:p w14:paraId="34886ECB" w14:textId="4300BEF2" w:rsidR="00C972E9" w:rsidRPr="00143F40" w:rsidRDefault="005F156D" w:rsidP="00143F40">
      <w:pPr>
        <w:snapToGrid w:val="0"/>
        <w:spacing w:before="120"/>
        <w:rPr>
          <w:rStyle w:val="ab"/>
          <w:sz w:val="20"/>
        </w:rPr>
      </w:pPr>
      <w:r w:rsidRPr="005F156D">
        <w:rPr>
          <w:rStyle w:val="ab"/>
          <w:sz w:val="20"/>
        </w:rPr>
        <w:t>We didn’t see there is any error in the previous agreement, and the Rel-18 Tx switching can work well based on it. Introducing new values into the switching period value set is not expected.</w:t>
      </w:r>
      <w:r w:rsidR="00143F40">
        <w:rPr>
          <w:rStyle w:val="ab"/>
          <w:sz w:val="20"/>
        </w:rPr>
        <w:t xml:space="preserve"> </w:t>
      </w:r>
      <w:r w:rsidRPr="00143F40">
        <w:rPr>
          <w:rStyle w:val="ab"/>
          <w:sz w:val="20"/>
        </w:rPr>
        <w:t xml:space="preserve">In the last meeting, operator had concern on additional values in that UE reporting more sw period values would increase the complexity of network side. In that case, some company pointed that the </w:t>
      </w:r>
      <w:r w:rsidRPr="00143F40">
        <w:rPr>
          <w:rStyle w:val="ab"/>
          <w:rFonts w:hint="eastAsia"/>
          <w:sz w:val="20"/>
        </w:rPr>
        <w:t>{1T, 1T, 0T, 0T}</w:t>
      </w:r>
      <w:r w:rsidRPr="00143F40">
        <w:rPr>
          <w:rStyle w:val="ab"/>
          <w:sz w:val="20"/>
        </w:rPr>
        <w:t xml:space="preserve"> to </w:t>
      </w:r>
      <w:r w:rsidRPr="00143F40">
        <w:rPr>
          <w:rStyle w:val="ab"/>
          <w:rFonts w:hint="eastAsia"/>
          <w:sz w:val="20"/>
        </w:rPr>
        <w:t xml:space="preserve">{0T, 0T, 1T, 1T} </w:t>
      </w:r>
      <w:r w:rsidRPr="00143F40">
        <w:rPr>
          <w:rStyle w:val="ab"/>
          <w:sz w:val="20"/>
        </w:rPr>
        <w:t>is a</w:t>
      </w:r>
      <w:r w:rsidRPr="00143F40">
        <w:rPr>
          <w:rStyle w:val="ab"/>
          <w:rFonts w:hint="eastAsia"/>
          <w:sz w:val="20"/>
        </w:rPr>
        <w:t xml:space="preserve"> rare case</w:t>
      </w:r>
      <w:r w:rsidRPr="00143F40">
        <w:rPr>
          <w:rStyle w:val="ab"/>
          <w:sz w:val="20"/>
        </w:rPr>
        <w:t xml:space="preserve"> and operators could do scheduling restriction to avoid the increased complexity. We do not think this is a good argument. In one hand, scheduling restriction </w:t>
      </w:r>
      <w:r w:rsidRPr="00143F40">
        <w:rPr>
          <w:rStyle w:val="ab"/>
          <w:sz w:val="20"/>
        </w:rPr>
        <w:lastRenderedPageBreak/>
        <w:t xml:space="preserve">is </w:t>
      </w:r>
      <w:r w:rsidR="003365DA" w:rsidRPr="00143F40">
        <w:rPr>
          <w:rStyle w:val="ab"/>
          <w:sz w:val="20"/>
        </w:rPr>
        <w:t xml:space="preserve">kind of complexity as well, no matter out of standard efforts or network implementation. In the other hand, if the network does not perform such scheduling, it is pointless to introduce the new values. </w:t>
      </w:r>
    </w:p>
    <w:p w14:paraId="13196D9C" w14:textId="7C9D79D0" w:rsidR="003365DA" w:rsidRDefault="003365DA" w:rsidP="003365DA">
      <w:pPr>
        <w:pStyle w:val="af0"/>
        <w:snapToGrid w:val="0"/>
        <w:spacing w:after="0"/>
        <w:rPr>
          <w:i/>
        </w:rPr>
      </w:pPr>
      <w:bookmarkStart w:id="0" w:name="_Ref134524457"/>
      <w:r w:rsidRPr="003365DA">
        <w:rPr>
          <w:i/>
        </w:rPr>
        <w:t xml:space="preserve">Proposal </w:t>
      </w:r>
      <w:r w:rsidRPr="003365DA">
        <w:rPr>
          <w:i/>
        </w:rPr>
        <w:fldChar w:fldCharType="begin"/>
      </w:r>
      <w:r w:rsidRPr="003365DA">
        <w:rPr>
          <w:i/>
        </w:rPr>
        <w:instrText xml:space="preserve"> SEQ Proposal \* ARABIC </w:instrText>
      </w:r>
      <w:r w:rsidRPr="003365DA">
        <w:rPr>
          <w:i/>
        </w:rPr>
        <w:fldChar w:fldCharType="separate"/>
      </w:r>
      <w:r w:rsidR="00B7168D">
        <w:rPr>
          <w:i/>
          <w:noProof/>
        </w:rPr>
        <w:t>1</w:t>
      </w:r>
      <w:r w:rsidRPr="003365DA">
        <w:rPr>
          <w:i/>
        </w:rPr>
        <w:fldChar w:fldCharType="end"/>
      </w:r>
      <w:r w:rsidRPr="003365DA">
        <w:rPr>
          <w:i/>
        </w:rPr>
        <w:t>:</w:t>
      </w:r>
      <w:r>
        <w:rPr>
          <w:i/>
        </w:rPr>
        <w:t xml:space="preserve"> A</w:t>
      </w:r>
      <w:r w:rsidRPr="003365DA">
        <w:rPr>
          <w:i/>
        </w:rPr>
        <w:t>dd</w:t>
      </w:r>
      <w:r>
        <w:rPr>
          <w:i/>
        </w:rPr>
        <w:t>ing</w:t>
      </w:r>
      <w:r w:rsidRPr="003365DA">
        <w:rPr>
          <w:i/>
        </w:rPr>
        <w:t xml:space="preserve"> new values</w:t>
      </w:r>
      <w:r>
        <w:rPr>
          <w:i/>
        </w:rPr>
        <w:t xml:space="preserve"> to the agreed switching period set is not expected</w:t>
      </w:r>
      <w:r w:rsidRPr="00D53363">
        <w:rPr>
          <w:i/>
        </w:rPr>
        <w:t>.</w:t>
      </w:r>
      <w:bookmarkEnd w:id="0"/>
    </w:p>
    <w:p w14:paraId="0C7C9DD2" w14:textId="77777777" w:rsidR="003365DA" w:rsidRPr="003365DA" w:rsidRDefault="003365DA" w:rsidP="003365DA">
      <w:pPr>
        <w:pStyle w:val="a7"/>
        <w:numPr>
          <w:ilvl w:val="0"/>
          <w:numId w:val="16"/>
        </w:numPr>
        <w:snapToGrid w:val="0"/>
        <w:ind w:left="714" w:firstLineChars="0" w:hanging="357"/>
        <w:rPr>
          <w:b/>
          <w:i/>
          <w:sz w:val="20"/>
          <w:lang w:val="en-GB" w:eastAsia="en-US"/>
        </w:rPr>
      </w:pPr>
      <w:r w:rsidRPr="003365DA">
        <w:rPr>
          <w:b/>
          <w:i/>
          <w:sz w:val="20"/>
          <w:lang w:val="en-GB" w:eastAsia="en-US"/>
        </w:rPr>
        <w:t>Rel-18 Tx switching can work well based on the previous agreement without error.</w:t>
      </w:r>
    </w:p>
    <w:p w14:paraId="4057226A" w14:textId="1E93150F" w:rsidR="003365DA" w:rsidRPr="003365DA" w:rsidRDefault="003365DA" w:rsidP="003365DA">
      <w:pPr>
        <w:pStyle w:val="a7"/>
        <w:numPr>
          <w:ilvl w:val="0"/>
          <w:numId w:val="16"/>
        </w:numPr>
        <w:snapToGrid w:val="0"/>
        <w:ind w:left="714" w:firstLineChars="0" w:hanging="357"/>
        <w:rPr>
          <w:b/>
          <w:i/>
          <w:sz w:val="20"/>
          <w:lang w:val="en-GB" w:eastAsia="en-US"/>
        </w:rPr>
      </w:pPr>
      <w:r w:rsidRPr="003365DA">
        <w:rPr>
          <w:b/>
          <w:i/>
          <w:sz w:val="20"/>
          <w:lang w:val="en-GB" w:eastAsia="en-US"/>
        </w:rPr>
        <w:t xml:space="preserve">Adding new values would increase the complexity from the perspective of network.  </w:t>
      </w:r>
    </w:p>
    <w:p w14:paraId="6AB3C168" w14:textId="26A7B703" w:rsidR="00EE6130" w:rsidRPr="00143F40" w:rsidRDefault="003365DA" w:rsidP="00B7168D">
      <w:pPr>
        <w:snapToGrid w:val="0"/>
        <w:spacing w:before="120" w:after="120"/>
        <w:rPr>
          <w:rStyle w:val="ab"/>
          <w:sz w:val="20"/>
        </w:rPr>
      </w:pPr>
      <w:r w:rsidRPr="00143F40">
        <w:rPr>
          <w:rStyle w:val="ab"/>
          <w:sz w:val="20"/>
        </w:rPr>
        <w:t xml:space="preserve">The WF has been approved in </w:t>
      </w:r>
      <w:r w:rsidR="002D44EE">
        <w:rPr>
          <w:rStyle w:val="ab"/>
          <w:sz w:val="20"/>
        </w:rPr>
        <w:t>[2]</w:t>
      </w:r>
      <w:r w:rsidRPr="00143F40">
        <w:rPr>
          <w:rStyle w:val="ab"/>
          <w:sz w:val="20"/>
        </w:rPr>
        <w:t xml:space="preserve"> to preclude the illustrated time mask </w:t>
      </w:r>
      <w:r w:rsidR="00320FBF" w:rsidRPr="00143F40">
        <w:rPr>
          <w:rStyle w:val="ab"/>
          <w:sz w:val="20"/>
        </w:rPr>
        <w:t>on summing of two switching periods</w:t>
      </w:r>
      <w:r w:rsidRPr="00143F40">
        <w:rPr>
          <w:rStyle w:val="ab"/>
          <w:sz w:val="20"/>
        </w:rPr>
        <w:t xml:space="preserve"> #3 </w:t>
      </w:r>
      <w:r w:rsidR="00320FBF" w:rsidRPr="00143F40">
        <w:rPr>
          <w:rStyle w:val="ab"/>
          <w:sz w:val="20"/>
        </w:rPr>
        <w:t xml:space="preserve">and </w:t>
      </w:r>
      <w:r w:rsidRPr="00143F40">
        <w:rPr>
          <w:rStyle w:val="ab"/>
          <w:sz w:val="20"/>
        </w:rPr>
        <w:t>#4</w:t>
      </w:r>
      <w:r w:rsidR="00320FBF" w:rsidRPr="00143F40">
        <w:rPr>
          <w:rStyle w:val="ab"/>
          <w:sz w:val="20"/>
        </w:rPr>
        <w:t xml:space="preserve"> </w:t>
      </w:r>
      <w:r w:rsidR="00320FBF" w:rsidRPr="00143F40">
        <w:rPr>
          <w:rFonts w:hint="eastAsia"/>
          <w:sz w:val="20"/>
          <w:szCs w:val="21"/>
        </w:rPr>
        <w:t xml:space="preserve">since it is not </w:t>
      </w:r>
      <w:r w:rsidR="00320FBF" w:rsidRPr="00143F40">
        <w:rPr>
          <w:sz w:val="20"/>
          <w:szCs w:val="21"/>
        </w:rPr>
        <w:t>aligned</w:t>
      </w:r>
      <w:r w:rsidR="00320FBF" w:rsidRPr="00143F40">
        <w:rPr>
          <w:rFonts w:hint="eastAsia"/>
          <w:sz w:val="20"/>
          <w:szCs w:val="21"/>
        </w:rPr>
        <w:t xml:space="preserve"> with the RAN1 agreement</w:t>
      </w:r>
      <w:r w:rsidR="00320FBF" w:rsidRPr="00143F40">
        <w:rPr>
          <w:sz w:val="20"/>
          <w:szCs w:val="21"/>
        </w:rPr>
        <w:t xml:space="preserve"> that the impact from switching would be on either switch-from bands or switch-to bands</w:t>
      </w:r>
      <w:r w:rsidRPr="00143F40">
        <w:rPr>
          <w:rStyle w:val="ab"/>
          <w:sz w:val="20"/>
        </w:rPr>
        <w:t>.</w:t>
      </w:r>
    </w:p>
    <w:tbl>
      <w:tblPr>
        <w:tblStyle w:val="aa"/>
        <w:tblW w:w="0" w:type="auto"/>
        <w:tblLook w:val="04A0" w:firstRow="1" w:lastRow="0" w:firstColumn="1" w:lastColumn="0" w:noHBand="0" w:noVBand="1"/>
      </w:tblPr>
      <w:tblGrid>
        <w:gridCol w:w="9628"/>
      </w:tblGrid>
      <w:tr w:rsidR="001B6BBC" w14:paraId="5D0C954D" w14:textId="77777777" w:rsidTr="001B6BBC">
        <w:tc>
          <w:tcPr>
            <w:tcW w:w="9628" w:type="dxa"/>
          </w:tcPr>
          <w:p w14:paraId="5BD2A4A6" w14:textId="77777777" w:rsidR="001B6BBC" w:rsidRPr="00320FBF" w:rsidRDefault="001B6BBC" w:rsidP="001B6BBC">
            <w:pPr>
              <w:pStyle w:val="a7"/>
              <w:widowControl/>
              <w:numPr>
                <w:ilvl w:val="0"/>
                <w:numId w:val="8"/>
              </w:numPr>
              <w:snapToGrid w:val="0"/>
              <w:spacing w:after="120"/>
              <w:ind w:left="284" w:firstLineChars="0" w:hanging="284"/>
              <w:jc w:val="left"/>
              <w:rPr>
                <w:b/>
                <w:szCs w:val="21"/>
                <w:lang w:eastAsia="zh-CN"/>
              </w:rPr>
            </w:pPr>
            <w:r w:rsidRPr="00320FBF">
              <w:rPr>
                <w:rFonts w:hint="eastAsia"/>
                <w:b/>
                <w:szCs w:val="21"/>
                <w:lang w:eastAsia="zh-CN"/>
              </w:rPr>
              <w:t>Issue: Is</w:t>
            </w:r>
            <w:r w:rsidRPr="00320FBF">
              <w:rPr>
                <w:b/>
                <w:szCs w:val="21"/>
                <w:lang w:eastAsia="zh-CN"/>
              </w:rPr>
              <w:t xml:space="preserve"> the switching period</w:t>
            </w:r>
            <w:r w:rsidRPr="00320FBF">
              <w:rPr>
                <w:rFonts w:hint="eastAsia"/>
                <w:b/>
                <w:szCs w:val="21"/>
                <w:lang w:eastAsia="zh-CN"/>
              </w:rPr>
              <w:t xml:space="preserve"> location in the following figure possible</w:t>
            </w:r>
            <w:r w:rsidRPr="00320FBF">
              <w:rPr>
                <w:b/>
                <w:szCs w:val="21"/>
                <w:lang w:eastAsia="zh-CN"/>
              </w:rPr>
              <w:t>?</w:t>
            </w:r>
          </w:p>
          <w:p w14:paraId="46C88782" w14:textId="77777777" w:rsidR="001B6BBC" w:rsidRDefault="001B6BBC" w:rsidP="001B6BBC">
            <w:pPr>
              <w:tabs>
                <w:tab w:val="num" w:pos="709"/>
                <w:tab w:val="num" w:pos="851"/>
                <w:tab w:val="num" w:pos="1440"/>
                <w:tab w:val="num" w:pos="1701"/>
                <w:tab w:val="left" w:pos="1800"/>
                <w:tab w:val="num" w:pos="2160"/>
              </w:tabs>
              <w:overflowPunct w:val="0"/>
              <w:autoSpaceDE w:val="0"/>
              <w:autoSpaceDN w:val="0"/>
              <w:adjustRightInd w:val="0"/>
              <w:snapToGrid w:val="0"/>
              <w:spacing w:before="60" w:after="60"/>
              <w:jc w:val="center"/>
              <w:textAlignment w:val="baseline"/>
              <w:rPr>
                <w:rFonts w:eastAsiaTheme="minorEastAsia"/>
                <w:sz w:val="21"/>
                <w:szCs w:val="21"/>
                <w:lang w:eastAsia="zh-CN"/>
              </w:rPr>
            </w:pPr>
            <w:r>
              <w:rPr>
                <w:noProof/>
              </w:rPr>
              <w:drawing>
                <wp:inline distT="0" distB="0" distL="0" distR="0" wp14:anchorId="0E059AF7" wp14:editId="0816B5CC">
                  <wp:extent cx="4541695" cy="273859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7280" cy="2741967"/>
                          </a:xfrm>
                          <a:prstGeom prst="rect">
                            <a:avLst/>
                          </a:prstGeom>
                          <a:noFill/>
                          <a:ln>
                            <a:noFill/>
                          </a:ln>
                        </pic:spPr>
                      </pic:pic>
                    </a:graphicData>
                  </a:graphic>
                </wp:inline>
              </w:drawing>
            </w:r>
          </w:p>
          <w:p w14:paraId="16036C95" w14:textId="77777777" w:rsidR="001B6BBC" w:rsidRPr="00743E8C" w:rsidRDefault="001B6BBC" w:rsidP="001B6BBC">
            <w:pPr>
              <w:snapToGrid w:val="0"/>
              <w:spacing w:after="120"/>
              <w:rPr>
                <w:rFonts w:eastAsiaTheme="minorEastAsia"/>
                <w:i/>
                <w:sz w:val="21"/>
                <w:lang w:val="en-US" w:eastAsia="zh-CN"/>
              </w:rPr>
            </w:pPr>
            <w:r w:rsidRPr="00743E8C">
              <w:rPr>
                <w:rFonts w:eastAsiaTheme="minorEastAsia"/>
                <w:i/>
                <w:sz w:val="21"/>
                <w:lang w:val="en-US" w:eastAsia="zh-CN"/>
              </w:rPr>
              <w:t>WF:</w:t>
            </w:r>
          </w:p>
          <w:p w14:paraId="5E0ABD4A" w14:textId="332A356C" w:rsidR="001B6BBC" w:rsidRPr="00320FBF" w:rsidRDefault="001B6BBC" w:rsidP="00143F40">
            <w:pPr>
              <w:pStyle w:val="a7"/>
              <w:widowControl/>
              <w:numPr>
                <w:ilvl w:val="0"/>
                <w:numId w:val="8"/>
              </w:numPr>
              <w:snapToGrid w:val="0"/>
              <w:spacing w:after="120" w:line="240" w:lineRule="auto"/>
              <w:ind w:left="284" w:firstLineChars="0" w:hanging="284"/>
              <w:jc w:val="left"/>
              <w:rPr>
                <w:rStyle w:val="ab"/>
                <w:lang w:eastAsia="zh-CN"/>
              </w:rPr>
            </w:pPr>
            <w:r w:rsidRPr="00143F40">
              <w:rPr>
                <w:szCs w:val="21"/>
                <w:lang w:eastAsia="zh-CN"/>
              </w:rPr>
              <w:t>It is observed that the location of switching period in the figure above is not valid since it is not aligned with the RAN1 agreement.</w:t>
            </w:r>
          </w:p>
        </w:tc>
      </w:tr>
    </w:tbl>
    <w:p w14:paraId="4F980BE5" w14:textId="77777777" w:rsidR="001B6BBC" w:rsidRDefault="001B6BBC" w:rsidP="00320FBF">
      <w:pPr>
        <w:rPr>
          <w:rStyle w:val="ab"/>
        </w:rPr>
      </w:pPr>
    </w:p>
    <w:p w14:paraId="6BC4DCDE" w14:textId="0C4B53DA" w:rsidR="00320FBF" w:rsidRPr="00143F40" w:rsidRDefault="00320FBF" w:rsidP="00143F40">
      <w:pPr>
        <w:snapToGrid w:val="0"/>
        <w:rPr>
          <w:rStyle w:val="ab"/>
          <w:sz w:val="20"/>
        </w:rPr>
      </w:pPr>
      <w:r w:rsidRPr="00143F40">
        <w:rPr>
          <w:rStyle w:val="ab"/>
          <w:sz w:val="20"/>
        </w:rPr>
        <w:t xml:space="preserve">If the sum of switching periods for the two band pairs locates on either switch-from bands or switch-to bands, it results in longer outage time on the </w:t>
      </w:r>
      <w:r w:rsidR="00623100" w:rsidRPr="00143F40">
        <w:rPr>
          <w:rStyle w:val="ab"/>
          <w:sz w:val="20"/>
        </w:rPr>
        <w:t xml:space="preserve">very few </w:t>
      </w:r>
      <w:r w:rsidRPr="00143F40">
        <w:rPr>
          <w:rStyle w:val="ab"/>
          <w:sz w:val="20"/>
        </w:rPr>
        <w:t>UL resources</w:t>
      </w:r>
      <w:r w:rsidR="00623100" w:rsidRPr="00143F40">
        <w:rPr>
          <w:rStyle w:val="ab"/>
          <w:sz w:val="20"/>
        </w:rPr>
        <w:t>. RAN1 evaluated the length of switching period before, and if the switching period is too long, the performance with Tx switching would lag behind that without switching. Summing of two switching period is up to 420μs</w:t>
      </w:r>
      <w:r w:rsidR="00623100" w:rsidRPr="00143F40">
        <w:rPr>
          <w:rStyle w:val="ab"/>
          <w:rFonts w:hint="eastAsia"/>
          <w:sz w:val="20"/>
        </w:rPr>
        <w:t>,</w:t>
      </w:r>
      <w:r w:rsidR="00623100" w:rsidRPr="00143F40">
        <w:rPr>
          <w:rStyle w:val="ab"/>
          <w:sz w:val="20"/>
        </w:rPr>
        <w:t xml:space="preserve"> in that case, it may be better for the UE to be configured semi-statically with UL CA or single uplink rather than Tx switching.</w:t>
      </w:r>
    </w:p>
    <w:p w14:paraId="58896573" w14:textId="558F85E2" w:rsidR="00143F40" w:rsidRPr="00143F40" w:rsidRDefault="00143F40" w:rsidP="00DE7054">
      <w:pPr>
        <w:snapToGrid w:val="0"/>
        <w:rPr>
          <w:rStyle w:val="ab"/>
          <w:sz w:val="20"/>
        </w:rPr>
      </w:pPr>
      <w:r w:rsidRPr="00143F40">
        <w:rPr>
          <w:rStyle w:val="ab"/>
          <w:sz w:val="20"/>
        </w:rPr>
        <w:t xml:space="preserve">In addition, </w:t>
      </w:r>
      <w:r>
        <w:rPr>
          <w:rStyle w:val="ab"/>
          <w:sz w:val="20"/>
        </w:rPr>
        <w:t>for the logic of UE capability from RAN2, the optional capability is e</w:t>
      </w:r>
      <w:r w:rsidRPr="00143F40">
        <w:rPr>
          <w:rStyle w:val="ab"/>
          <w:sz w:val="20"/>
        </w:rPr>
        <w:t>quivalent to</w:t>
      </w:r>
      <w:r>
        <w:rPr>
          <w:rStyle w:val="ab"/>
          <w:sz w:val="20"/>
        </w:rPr>
        <w:t xml:space="preserve"> advanced capability. And it is blatantly obvious that the switching period of advanced capability should not be longer than the baseline.</w:t>
      </w:r>
      <w:r w:rsidR="00DE7054">
        <w:rPr>
          <w:rStyle w:val="ab"/>
          <w:sz w:val="20"/>
        </w:rPr>
        <w:t xml:space="preserve"> The worse capability results from the sum of switching periods should not be introduced.</w:t>
      </w:r>
    </w:p>
    <w:p w14:paraId="510155AD" w14:textId="54C879A1" w:rsidR="00320FBF" w:rsidRDefault="00320FBF" w:rsidP="00320FBF">
      <w:pPr>
        <w:pStyle w:val="af0"/>
        <w:snapToGrid w:val="0"/>
        <w:spacing w:after="0"/>
        <w:rPr>
          <w:i/>
        </w:rPr>
      </w:pPr>
      <w:bookmarkStart w:id="1" w:name="_Ref134524472"/>
      <w:r w:rsidRPr="003365DA">
        <w:rPr>
          <w:i/>
        </w:rPr>
        <w:t xml:space="preserve">Proposal </w:t>
      </w:r>
      <w:r w:rsidRPr="003365DA">
        <w:rPr>
          <w:i/>
        </w:rPr>
        <w:fldChar w:fldCharType="begin"/>
      </w:r>
      <w:r w:rsidRPr="003365DA">
        <w:rPr>
          <w:i/>
        </w:rPr>
        <w:instrText xml:space="preserve"> SEQ Proposal \* ARABIC </w:instrText>
      </w:r>
      <w:r w:rsidRPr="003365DA">
        <w:rPr>
          <w:i/>
        </w:rPr>
        <w:fldChar w:fldCharType="separate"/>
      </w:r>
      <w:r w:rsidR="00B7168D">
        <w:rPr>
          <w:i/>
          <w:noProof/>
        </w:rPr>
        <w:t>2</w:t>
      </w:r>
      <w:r w:rsidRPr="003365DA">
        <w:rPr>
          <w:i/>
        </w:rPr>
        <w:fldChar w:fldCharType="end"/>
      </w:r>
      <w:r w:rsidRPr="003365DA">
        <w:rPr>
          <w:i/>
        </w:rPr>
        <w:t>:</w:t>
      </w:r>
      <w:r>
        <w:rPr>
          <w:i/>
        </w:rPr>
        <w:t xml:space="preserve"> </w:t>
      </w:r>
      <w:r w:rsidRPr="00320FBF">
        <w:rPr>
          <w:i/>
        </w:rPr>
        <w:t xml:space="preserve">Sum of two switching periods </w:t>
      </w:r>
      <w:r>
        <w:rPr>
          <w:i/>
        </w:rPr>
        <w:t>is not expected</w:t>
      </w:r>
      <w:r w:rsidRPr="00D53363">
        <w:rPr>
          <w:i/>
        </w:rPr>
        <w:t>.</w:t>
      </w:r>
      <w:bookmarkEnd w:id="1"/>
    </w:p>
    <w:p w14:paraId="29EEF672" w14:textId="21475922" w:rsidR="00320FBF" w:rsidRDefault="00320FBF" w:rsidP="00DE7054">
      <w:pPr>
        <w:pStyle w:val="a7"/>
        <w:numPr>
          <w:ilvl w:val="0"/>
          <w:numId w:val="21"/>
        </w:numPr>
        <w:snapToGrid w:val="0"/>
        <w:ind w:left="714" w:firstLineChars="0" w:hanging="357"/>
        <w:rPr>
          <w:b/>
          <w:i/>
          <w:sz w:val="20"/>
          <w:lang w:val="en-GB" w:eastAsia="en-US"/>
        </w:rPr>
      </w:pPr>
      <w:r w:rsidRPr="00320FBF">
        <w:rPr>
          <w:b/>
          <w:i/>
          <w:sz w:val="20"/>
          <w:lang w:val="en-GB" w:eastAsia="en-US"/>
        </w:rPr>
        <w:t>The illustrated time mask on summing of two switching periods has been precluded in the last meeting since it violate the RAN1 agreement.</w:t>
      </w:r>
    </w:p>
    <w:p w14:paraId="49332672" w14:textId="0EB7FB0D" w:rsidR="00320FBF" w:rsidRDefault="00143F40" w:rsidP="00DE7054">
      <w:pPr>
        <w:pStyle w:val="a7"/>
        <w:numPr>
          <w:ilvl w:val="0"/>
          <w:numId w:val="21"/>
        </w:numPr>
        <w:snapToGrid w:val="0"/>
        <w:ind w:left="714" w:firstLineChars="0" w:hanging="357"/>
        <w:rPr>
          <w:b/>
          <w:i/>
          <w:sz w:val="20"/>
          <w:lang w:val="en-GB" w:eastAsia="en-US"/>
        </w:rPr>
      </w:pPr>
      <w:r>
        <w:rPr>
          <w:b/>
          <w:i/>
          <w:sz w:val="20"/>
          <w:lang w:val="en-GB" w:eastAsia="en-US"/>
        </w:rPr>
        <w:t>According to RAN1’s evaluation, too long switching period would results in worse performance for Tx switching than semi-static</w:t>
      </w:r>
      <w:r w:rsidRPr="00143F40">
        <w:rPr>
          <w:b/>
          <w:i/>
          <w:sz w:val="20"/>
          <w:lang w:val="en-GB" w:eastAsia="en-US"/>
        </w:rPr>
        <w:t xml:space="preserve"> UL CA or single uplink</w:t>
      </w:r>
      <w:r>
        <w:rPr>
          <w:b/>
          <w:i/>
          <w:sz w:val="20"/>
          <w:lang w:val="en-GB" w:eastAsia="en-US"/>
        </w:rPr>
        <w:t>.</w:t>
      </w:r>
    </w:p>
    <w:p w14:paraId="4326D533" w14:textId="49F56486" w:rsidR="00143F40" w:rsidRPr="00320FBF" w:rsidRDefault="00DE7054" w:rsidP="00DE7054">
      <w:pPr>
        <w:pStyle w:val="a7"/>
        <w:numPr>
          <w:ilvl w:val="0"/>
          <w:numId w:val="21"/>
        </w:numPr>
        <w:snapToGrid w:val="0"/>
        <w:ind w:left="714" w:firstLineChars="0" w:hanging="357"/>
        <w:rPr>
          <w:b/>
          <w:i/>
          <w:sz w:val="20"/>
          <w:lang w:val="en-GB" w:eastAsia="en-US"/>
        </w:rPr>
      </w:pPr>
      <w:r w:rsidRPr="00DE7054">
        <w:rPr>
          <w:b/>
          <w:i/>
          <w:sz w:val="20"/>
          <w:lang w:val="en-GB" w:eastAsia="en-US"/>
        </w:rPr>
        <w:t xml:space="preserve">The worse </w:t>
      </w:r>
      <w:r>
        <w:rPr>
          <w:b/>
          <w:i/>
          <w:sz w:val="20"/>
          <w:lang w:val="en-GB" w:eastAsia="en-US"/>
        </w:rPr>
        <w:t xml:space="preserve">optional </w:t>
      </w:r>
      <w:r w:rsidRPr="00DE7054">
        <w:rPr>
          <w:b/>
          <w:i/>
          <w:sz w:val="20"/>
          <w:lang w:val="en-GB" w:eastAsia="en-US"/>
        </w:rPr>
        <w:t>capability results from the sum of switching periods should not be introduced</w:t>
      </w:r>
      <w:r>
        <w:rPr>
          <w:b/>
          <w:i/>
          <w:sz w:val="20"/>
          <w:lang w:val="en-GB" w:eastAsia="en-US"/>
        </w:rPr>
        <w:t xml:space="preserve"> considering </w:t>
      </w:r>
      <w:r w:rsidRPr="00DE7054">
        <w:rPr>
          <w:b/>
          <w:i/>
          <w:sz w:val="20"/>
          <w:lang w:val="en-GB" w:eastAsia="en-US"/>
        </w:rPr>
        <w:t>optional capability is equivalent to advanced capability</w:t>
      </w:r>
      <w:r>
        <w:rPr>
          <w:b/>
          <w:i/>
          <w:sz w:val="20"/>
          <w:lang w:val="en-GB" w:eastAsia="en-US"/>
        </w:rPr>
        <w:t xml:space="preserve"> from RAN2’s logic.  </w:t>
      </w:r>
    </w:p>
    <w:p w14:paraId="17E54128" w14:textId="77777777" w:rsidR="00320FBF" w:rsidRPr="00E9162E" w:rsidRDefault="00320FBF" w:rsidP="00320FBF">
      <w:pPr>
        <w:rPr>
          <w:rStyle w:val="ab"/>
          <w:sz w:val="20"/>
          <w:lang w:val="en-GB"/>
        </w:rPr>
      </w:pPr>
    </w:p>
    <w:p w14:paraId="1A70F7BF" w14:textId="0835CD88" w:rsidR="00E9162E" w:rsidRDefault="00E9162E" w:rsidP="001B78DD">
      <w:pPr>
        <w:snapToGrid w:val="0"/>
        <w:rPr>
          <w:rStyle w:val="ab"/>
          <w:sz w:val="20"/>
        </w:rPr>
      </w:pPr>
      <w:r>
        <w:rPr>
          <w:rStyle w:val="ab"/>
          <w:sz w:val="20"/>
        </w:rPr>
        <w:t xml:space="preserve">More bands are supported in Rel-18 Tx switching to implement more flexible utilization of spectrum resources. </w:t>
      </w:r>
      <w:r w:rsidRPr="00E9162E">
        <w:rPr>
          <w:rStyle w:val="ab"/>
          <w:sz w:val="20"/>
        </w:rPr>
        <w:t>Correspondingly</w:t>
      </w:r>
      <w:r>
        <w:rPr>
          <w:rStyle w:val="ab"/>
          <w:sz w:val="20"/>
        </w:rPr>
        <w:t xml:space="preserve">, the UE implementation should be upgraded to coordinate the promising much better performance. The two Tx chains switching concurrently would be the typical UE implementation. For some UEs that support barely switching sequentially for two band pairs, those should either </w:t>
      </w:r>
      <w:r w:rsidR="00B25D45">
        <w:rPr>
          <w:rStyle w:val="ab"/>
          <w:sz w:val="20"/>
        </w:rPr>
        <w:t xml:space="preserve">complete switching for one Tx switching instance </w:t>
      </w:r>
      <w:r w:rsidRPr="00E9162E">
        <w:rPr>
          <w:rStyle w:val="ab"/>
          <w:sz w:val="20"/>
        </w:rPr>
        <w:t>during a single determined switching gap</w:t>
      </w:r>
      <w:r>
        <w:rPr>
          <w:rStyle w:val="ab"/>
          <w:sz w:val="20"/>
        </w:rPr>
        <w:t xml:space="preserve"> as agreed in RAN1 in </w:t>
      </w:r>
      <w:r w:rsidRPr="00E9162E">
        <w:rPr>
          <w:rStyle w:val="ab"/>
          <w:sz w:val="20"/>
        </w:rPr>
        <w:t>R1-2304219</w:t>
      </w:r>
      <w:r w:rsidR="00B25D45">
        <w:rPr>
          <w:rStyle w:val="ab"/>
          <w:sz w:val="20"/>
        </w:rPr>
        <w:t xml:space="preserve">, or </w:t>
      </w:r>
      <w:r w:rsidR="00B25D45" w:rsidRPr="00B25D45">
        <w:rPr>
          <w:rStyle w:val="ab"/>
          <w:sz w:val="20"/>
        </w:rPr>
        <w:t>relinquish</w:t>
      </w:r>
      <w:r>
        <w:rPr>
          <w:rStyle w:val="ab"/>
          <w:sz w:val="20"/>
        </w:rPr>
        <w:t xml:space="preserve"> </w:t>
      </w:r>
      <w:r w:rsidR="00B25D45">
        <w:rPr>
          <w:rStyle w:val="ab"/>
          <w:sz w:val="20"/>
        </w:rPr>
        <w:t>support Rel-18 Tx switching and fallback to Rel-16/17.</w:t>
      </w:r>
    </w:p>
    <w:p w14:paraId="3AE7A42A" w14:textId="4E3F2E22" w:rsidR="00731E9A" w:rsidRPr="00E9162E" w:rsidRDefault="00731E9A" w:rsidP="00320FBF">
      <w:pPr>
        <w:rPr>
          <w:rStyle w:val="ab"/>
          <w:sz w:val="20"/>
        </w:rPr>
      </w:pPr>
    </w:p>
    <w:tbl>
      <w:tblPr>
        <w:tblStyle w:val="aa"/>
        <w:tblW w:w="0" w:type="auto"/>
        <w:tblLook w:val="04A0" w:firstRow="1" w:lastRow="0" w:firstColumn="1" w:lastColumn="0" w:noHBand="0" w:noVBand="1"/>
      </w:tblPr>
      <w:tblGrid>
        <w:gridCol w:w="9628"/>
      </w:tblGrid>
      <w:tr w:rsidR="00731E9A" w:rsidRPr="00B25D45" w14:paraId="6C0BECB4" w14:textId="77777777" w:rsidTr="00731E9A">
        <w:tc>
          <w:tcPr>
            <w:tcW w:w="9628" w:type="dxa"/>
          </w:tcPr>
          <w:p w14:paraId="12C220B9" w14:textId="77777777" w:rsidR="00731E9A" w:rsidRPr="00B25D45" w:rsidRDefault="00731E9A" w:rsidP="00B25D45">
            <w:pPr>
              <w:tabs>
                <w:tab w:val="center" w:pos="4153"/>
                <w:tab w:val="right" w:pos="8306"/>
              </w:tabs>
              <w:snapToGrid w:val="0"/>
              <w:spacing w:before="0" w:line="300" w:lineRule="auto"/>
              <w:rPr>
                <w:bCs/>
                <w:iCs/>
                <w:lang w:val="en-US" w:eastAsia="zh-CN"/>
              </w:rPr>
            </w:pPr>
            <w:r w:rsidRPr="00B25D45">
              <w:rPr>
                <w:bCs/>
                <w:iCs/>
                <w:highlight w:val="green"/>
                <w:lang w:val="en-US" w:eastAsia="zh-CN"/>
              </w:rPr>
              <w:t>Agreement:</w:t>
            </w:r>
          </w:p>
          <w:p w14:paraId="3C6E074A" w14:textId="77777777" w:rsidR="00731E9A" w:rsidRPr="00B25D45" w:rsidRDefault="00731E9A" w:rsidP="001B78DD">
            <w:pPr>
              <w:tabs>
                <w:tab w:val="center" w:pos="4153"/>
                <w:tab w:val="right" w:pos="8306"/>
              </w:tabs>
              <w:adjustRightInd w:val="0"/>
              <w:snapToGrid w:val="0"/>
              <w:spacing w:before="0" w:line="240" w:lineRule="auto"/>
              <w:rPr>
                <w:bCs/>
                <w:iCs/>
                <w:lang w:val="en-US" w:eastAsia="zh-CN"/>
              </w:rPr>
            </w:pPr>
            <w:r w:rsidRPr="00B25D45">
              <w:rPr>
                <w:bCs/>
                <w:iCs/>
                <w:lang w:val="en-US" w:eastAsia="zh-CN"/>
              </w:rPr>
              <w:t>In the reply LS to RAN4, the answer to RAN4 question is as follows:</w:t>
            </w:r>
          </w:p>
          <w:p w14:paraId="641A708E" w14:textId="77777777" w:rsidR="00731E9A" w:rsidRPr="00B25D45" w:rsidRDefault="00731E9A" w:rsidP="001B78DD">
            <w:pPr>
              <w:widowControl/>
              <w:numPr>
                <w:ilvl w:val="0"/>
                <w:numId w:val="9"/>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before="0" w:line="240" w:lineRule="auto"/>
              <w:ind w:leftChars="71" w:left="429" w:hangingChars="140" w:hanging="280"/>
              <w:jc w:val="left"/>
              <w:textAlignment w:val="baseline"/>
              <w:rPr>
                <w:bCs/>
                <w:iCs/>
                <w:lang w:val="en-US" w:eastAsia="zh-CN"/>
              </w:rPr>
            </w:pPr>
            <w:r w:rsidRPr="00B25D45">
              <w:rPr>
                <w:bCs/>
                <w:iCs/>
                <w:lang w:val="en-US" w:eastAsia="zh-CN"/>
              </w:rPr>
              <w:t xml:space="preserve">RAN1 confirms that it is possible that </w:t>
            </w:r>
            <w:r w:rsidRPr="00B25D45">
              <w:rPr>
                <w:bCs/>
                <w:iCs/>
                <w:shd w:val="clear" w:color="auto" w:fill="CCC0D9" w:themeFill="accent4" w:themeFillTint="66"/>
                <w:lang w:val="en-US" w:eastAsia="zh-CN"/>
              </w:rPr>
              <w:t>the two Tx chains are switched</w:t>
            </w:r>
            <w:r w:rsidRPr="00B25D45">
              <w:rPr>
                <w:bCs/>
                <w:iCs/>
                <w:lang w:val="en-US" w:eastAsia="zh-CN"/>
              </w:rPr>
              <w:t xml:space="preserve"> </w:t>
            </w:r>
            <w:r w:rsidRPr="00B25D45">
              <w:rPr>
                <w:bCs/>
                <w:iCs/>
                <w:shd w:val="clear" w:color="auto" w:fill="CCC0D9" w:themeFill="accent4" w:themeFillTint="66"/>
                <w:lang w:val="en-US" w:eastAsia="zh-CN"/>
              </w:rPr>
              <w:t>concurrently between two different band pairs</w:t>
            </w:r>
            <w:r w:rsidRPr="00B25D45">
              <w:rPr>
                <w:bCs/>
                <w:iCs/>
                <w:lang w:val="en-US" w:eastAsia="zh-CN"/>
              </w:rPr>
              <w:t xml:space="preserve"> for one Tx switching instance </w:t>
            </w:r>
            <w:r w:rsidRPr="00B25D45">
              <w:rPr>
                <w:bCs/>
                <w:iCs/>
                <w:shd w:val="clear" w:color="auto" w:fill="CCC0D9" w:themeFill="accent4" w:themeFillTint="66"/>
                <w:lang w:val="en-US" w:eastAsia="zh-CN"/>
              </w:rPr>
              <w:t>during a single switching gap</w:t>
            </w:r>
            <w:r w:rsidRPr="00B25D45">
              <w:rPr>
                <w:bCs/>
                <w:iCs/>
                <w:lang w:val="en-US" w:eastAsia="zh-CN"/>
              </w:rPr>
              <w:t xml:space="preserve"> for the following three examples.</w:t>
            </w:r>
          </w:p>
          <w:p w14:paraId="655CED25" w14:textId="77777777" w:rsidR="00731E9A" w:rsidRPr="00B25D45" w:rsidRDefault="00731E9A" w:rsidP="001B78DD">
            <w:pPr>
              <w:widowControl/>
              <w:numPr>
                <w:ilvl w:val="1"/>
                <w:numId w:val="9"/>
              </w:numPr>
              <w:tabs>
                <w:tab w:val="num" w:pos="484"/>
                <w:tab w:val="num" w:pos="709"/>
                <w:tab w:val="num" w:pos="851"/>
                <w:tab w:val="num" w:pos="1125"/>
                <w:tab w:val="num" w:pos="1440"/>
                <w:tab w:val="center" w:pos="4153"/>
                <w:tab w:val="right" w:pos="8306"/>
              </w:tabs>
              <w:overflowPunct w:val="0"/>
              <w:autoSpaceDE w:val="0"/>
              <w:autoSpaceDN w:val="0"/>
              <w:adjustRightInd w:val="0"/>
              <w:snapToGrid w:val="0"/>
              <w:spacing w:before="0" w:line="240" w:lineRule="auto"/>
              <w:jc w:val="left"/>
              <w:textAlignment w:val="baseline"/>
              <w:rPr>
                <w:bCs/>
                <w:iCs/>
                <w:lang w:val="en-US" w:eastAsia="zh-CN"/>
              </w:rPr>
            </w:pPr>
            <w:r w:rsidRPr="00B25D45">
              <w:rPr>
                <w:bCs/>
                <w:iCs/>
                <w:lang w:val="en-US" w:eastAsia="zh-CN"/>
              </w:rPr>
              <w:t>Example #1: In the case of 3-band Tx switching, the switching is performed from 1T+1T on band A and B to 2T on band C.</w:t>
            </w:r>
          </w:p>
          <w:p w14:paraId="3902A46B" w14:textId="77777777" w:rsidR="00731E9A" w:rsidRPr="00B25D45" w:rsidRDefault="00731E9A" w:rsidP="001B78DD">
            <w:pPr>
              <w:widowControl/>
              <w:numPr>
                <w:ilvl w:val="1"/>
                <w:numId w:val="9"/>
              </w:numPr>
              <w:tabs>
                <w:tab w:val="num" w:pos="484"/>
                <w:tab w:val="num" w:pos="709"/>
                <w:tab w:val="num" w:pos="851"/>
                <w:tab w:val="num" w:pos="1125"/>
                <w:tab w:val="num" w:pos="1440"/>
                <w:tab w:val="center" w:pos="4153"/>
                <w:tab w:val="right" w:pos="8306"/>
              </w:tabs>
              <w:overflowPunct w:val="0"/>
              <w:autoSpaceDE w:val="0"/>
              <w:autoSpaceDN w:val="0"/>
              <w:adjustRightInd w:val="0"/>
              <w:snapToGrid w:val="0"/>
              <w:spacing w:before="0" w:line="240" w:lineRule="auto"/>
              <w:jc w:val="left"/>
              <w:textAlignment w:val="baseline"/>
              <w:rPr>
                <w:bCs/>
                <w:iCs/>
                <w:lang w:val="en-US" w:eastAsia="zh-CN"/>
              </w:rPr>
            </w:pPr>
            <w:r w:rsidRPr="00B25D45">
              <w:rPr>
                <w:bCs/>
                <w:iCs/>
                <w:lang w:val="en-US" w:eastAsia="zh-CN"/>
              </w:rPr>
              <w:t>Example #2: In the case of 4-band Tx switching, the switching is performed from 1T+1T on band A and B to 1T+1T on band C and D.</w:t>
            </w:r>
          </w:p>
          <w:p w14:paraId="356A8001" w14:textId="77777777" w:rsidR="00731E9A" w:rsidRPr="00B25D45" w:rsidRDefault="00731E9A" w:rsidP="001B78DD">
            <w:pPr>
              <w:widowControl/>
              <w:numPr>
                <w:ilvl w:val="1"/>
                <w:numId w:val="9"/>
              </w:numPr>
              <w:tabs>
                <w:tab w:val="num" w:pos="484"/>
                <w:tab w:val="num" w:pos="709"/>
                <w:tab w:val="num" w:pos="851"/>
                <w:tab w:val="num" w:pos="1125"/>
                <w:tab w:val="num" w:pos="1440"/>
                <w:tab w:val="center" w:pos="4153"/>
                <w:tab w:val="right" w:pos="8306"/>
              </w:tabs>
              <w:overflowPunct w:val="0"/>
              <w:autoSpaceDE w:val="0"/>
              <w:autoSpaceDN w:val="0"/>
              <w:adjustRightInd w:val="0"/>
              <w:snapToGrid w:val="0"/>
              <w:spacing w:before="0" w:line="240" w:lineRule="auto"/>
              <w:jc w:val="left"/>
              <w:textAlignment w:val="baseline"/>
              <w:rPr>
                <w:bCs/>
                <w:iCs/>
                <w:lang w:val="en-US" w:eastAsia="zh-CN"/>
              </w:rPr>
            </w:pPr>
            <w:r w:rsidRPr="00B25D45">
              <w:rPr>
                <w:bCs/>
                <w:iCs/>
                <w:lang w:val="en-US" w:eastAsia="zh-CN"/>
              </w:rPr>
              <w:t>Example #3: In the case of 3-band Tx switching, the switching is performed from 2T on band A to 1T+1T on band B and C.</w:t>
            </w:r>
          </w:p>
          <w:p w14:paraId="51BD65C0" w14:textId="77777777" w:rsidR="00731E9A" w:rsidRPr="00B25D45" w:rsidRDefault="00731E9A" w:rsidP="001B78DD">
            <w:pPr>
              <w:widowControl/>
              <w:numPr>
                <w:ilvl w:val="0"/>
                <w:numId w:val="9"/>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before="0" w:line="240" w:lineRule="auto"/>
              <w:ind w:leftChars="71" w:left="429" w:hangingChars="140" w:hanging="280"/>
              <w:jc w:val="left"/>
              <w:textAlignment w:val="baseline"/>
              <w:rPr>
                <w:bCs/>
                <w:iCs/>
                <w:lang w:val="en-US" w:eastAsia="zh-CN"/>
              </w:rPr>
            </w:pPr>
            <w:r w:rsidRPr="00B25D45">
              <w:rPr>
                <w:bCs/>
                <w:iCs/>
                <w:lang w:val="en-US" w:eastAsia="zh-CN"/>
              </w:rPr>
              <w:t xml:space="preserve">It is RAN1 understanding that the switching of two Tx chains between two different band pairs can be performed for </w:t>
            </w:r>
            <w:r w:rsidRPr="00B25D45">
              <w:rPr>
                <w:b/>
                <w:bCs/>
                <w:iCs/>
                <w:lang w:val="en-US" w:eastAsia="zh-CN"/>
              </w:rPr>
              <w:t>one Tx switching instance during a single determined switching gap derived by switching periods for different band pairs reported by UE according to RAN4 LS [R1-2300029/R4-2220548]</w:t>
            </w:r>
            <w:r w:rsidRPr="00B25D45">
              <w:rPr>
                <w:bCs/>
                <w:iCs/>
                <w:lang w:val="en-US" w:eastAsia="zh-CN"/>
              </w:rPr>
              <w:t xml:space="preserve">. </w:t>
            </w:r>
          </w:p>
          <w:p w14:paraId="4F1B795E" w14:textId="5CABE887" w:rsidR="00731E9A" w:rsidRPr="00B25D45" w:rsidRDefault="00731E9A" w:rsidP="001B78DD">
            <w:pPr>
              <w:widowControl/>
              <w:numPr>
                <w:ilvl w:val="1"/>
                <w:numId w:val="9"/>
              </w:numPr>
              <w:tabs>
                <w:tab w:val="num" w:pos="484"/>
                <w:tab w:val="num" w:pos="709"/>
                <w:tab w:val="num" w:pos="851"/>
                <w:tab w:val="num" w:pos="1125"/>
                <w:tab w:val="num" w:pos="1440"/>
                <w:tab w:val="center" w:pos="4153"/>
                <w:tab w:val="right" w:pos="8306"/>
              </w:tabs>
              <w:overflowPunct w:val="0"/>
              <w:autoSpaceDE w:val="0"/>
              <w:autoSpaceDN w:val="0"/>
              <w:adjustRightInd w:val="0"/>
              <w:snapToGrid w:val="0"/>
              <w:spacing w:before="0" w:after="120" w:line="240" w:lineRule="auto"/>
              <w:jc w:val="left"/>
              <w:textAlignment w:val="baseline"/>
              <w:rPr>
                <w:rStyle w:val="ab"/>
                <w:bCs/>
                <w:iCs/>
                <w:sz w:val="20"/>
                <w:szCs w:val="20"/>
                <w:lang w:val="en-US" w:eastAsia="zh-CN"/>
              </w:rPr>
            </w:pPr>
            <w:r w:rsidRPr="00B25D45">
              <w:rPr>
                <w:bCs/>
                <w:iCs/>
                <w:lang w:val="en-US" w:eastAsia="zh-CN"/>
              </w:rPr>
              <w:t>Whether two Tx chains are switched simultaneously or sequentially for one Tx switching instance during the single determined switching gap is up to RAN4.</w:t>
            </w:r>
          </w:p>
        </w:tc>
      </w:tr>
    </w:tbl>
    <w:p w14:paraId="77FA9086" w14:textId="77777777" w:rsidR="00B25D45" w:rsidRPr="00B25D45" w:rsidRDefault="00B25D45" w:rsidP="00B25D45">
      <w:pPr>
        <w:snapToGrid w:val="0"/>
        <w:spacing w:before="120"/>
        <w:rPr>
          <w:rStyle w:val="ab"/>
          <w:b/>
          <w:sz w:val="18"/>
        </w:rPr>
      </w:pPr>
      <w:bookmarkStart w:id="2" w:name="_Ref134524478"/>
      <w:r w:rsidRPr="00B25D45">
        <w:rPr>
          <w:b/>
          <w:i/>
          <w:sz w:val="20"/>
        </w:rPr>
        <w:t xml:space="preserve">Proposal </w:t>
      </w:r>
      <w:r w:rsidRPr="00B25D45">
        <w:rPr>
          <w:b/>
          <w:i/>
          <w:sz w:val="20"/>
        </w:rPr>
        <w:fldChar w:fldCharType="begin"/>
      </w:r>
      <w:r w:rsidRPr="00B25D45">
        <w:rPr>
          <w:b/>
          <w:i/>
          <w:sz w:val="20"/>
        </w:rPr>
        <w:instrText xml:space="preserve"> SEQ Proposal \* ARABIC </w:instrText>
      </w:r>
      <w:r w:rsidRPr="00B25D45">
        <w:rPr>
          <w:b/>
          <w:i/>
          <w:sz w:val="20"/>
        </w:rPr>
        <w:fldChar w:fldCharType="separate"/>
      </w:r>
      <w:r w:rsidR="00B7168D">
        <w:rPr>
          <w:b/>
          <w:i/>
          <w:noProof/>
          <w:sz w:val="20"/>
        </w:rPr>
        <w:t>3</w:t>
      </w:r>
      <w:r w:rsidRPr="00B25D45">
        <w:rPr>
          <w:b/>
          <w:i/>
          <w:sz w:val="20"/>
        </w:rPr>
        <w:fldChar w:fldCharType="end"/>
      </w:r>
      <w:r w:rsidRPr="00B25D45">
        <w:rPr>
          <w:b/>
          <w:i/>
          <w:sz w:val="20"/>
        </w:rPr>
        <w:t xml:space="preserve">: </w:t>
      </w:r>
      <w:r>
        <w:rPr>
          <w:b/>
          <w:i/>
          <w:sz w:val="20"/>
        </w:rPr>
        <w:t xml:space="preserve">The </w:t>
      </w:r>
      <w:r w:rsidRPr="00B25D45">
        <w:rPr>
          <w:b/>
          <w:i/>
          <w:sz w:val="20"/>
        </w:rPr>
        <w:t>UEs that support barely switching sequentially for two band pairs, should either complete switching during a single determined switching gap as agreed in RAN1, or relinquish support</w:t>
      </w:r>
      <w:r>
        <w:rPr>
          <w:b/>
          <w:i/>
          <w:sz w:val="20"/>
        </w:rPr>
        <w:t>ing</w:t>
      </w:r>
      <w:r w:rsidRPr="00B25D45">
        <w:rPr>
          <w:b/>
          <w:i/>
          <w:sz w:val="20"/>
        </w:rPr>
        <w:t xml:space="preserve"> Rel-18 Tx switching and fallback to Rel-16/17.</w:t>
      </w:r>
      <w:bookmarkEnd w:id="2"/>
    </w:p>
    <w:p w14:paraId="37869467" w14:textId="2B406990" w:rsidR="006834B8" w:rsidRPr="00D5067E" w:rsidRDefault="006834B8" w:rsidP="0024293B">
      <w:pPr>
        <w:snapToGrid w:val="0"/>
        <w:spacing w:beforeLines="100" w:before="312" w:after="120"/>
        <w:outlineLvl w:val="1"/>
        <w:rPr>
          <w:rFonts w:ascii="Arial" w:eastAsiaTheme="minorEastAsia" w:hAnsi="Arial" w:cstheme="minorBidi"/>
          <w:sz w:val="28"/>
          <w:szCs w:val="36"/>
        </w:rPr>
      </w:pPr>
      <w:r w:rsidRPr="00D5067E">
        <w:rPr>
          <w:rFonts w:ascii="Arial" w:eastAsiaTheme="minorEastAsia" w:hAnsi="Arial" w:cstheme="minorBidi"/>
          <w:sz w:val="28"/>
          <w:szCs w:val="36"/>
        </w:rPr>
        <w:t>2.</w:t>
      </w:r>
      <w:r w:rsidR="00B25D45">
        <w:rPr>
          <w:rFonts w:ascii="Arial" w:eastAsiaTheme="minorEastAsia" w:hAnsi="Arial" w:cstheme="minorBidi"/>
          <w:sz w:val="28"/>
          <w:szCs w:val="36"/>
        </w:rPr>
        <w:t>2</w:t>
      </w:r>
      <w:r w:rsidRPr="00D5067E">
        <w:rPr>
          <w:rFonts w:ascii="Arial" w:eastAsiaTheme="minorEastAsia" w:hAnsi="Arial" w:cstheme="minorBidi"/>
          <w:sz w:val="28"/>
          <w:szCs w:val="36"/>
        </w:rPr>
        <w:t xml:space="preserve">. </w:t>
      </w:r>
      <w:r w:rsidR="007E47E9">
        <w:rPr>
          <w:rFonts w:ascii="Arial" w:eastAsiaTheme="minorEastAsia" w:hAnsi="Arial" w:cstheme="minorBidi"/>
          <w:sz w:val="28"/>
          <w:szCs w:val="36"/>
        </w:rPr>
        <w:t>Exact location of the switching period and the actual start point of transmission on the switch-to bands.</w:t>
      </w:r>
    </w:p>
    <w:p w14:paraId="217387F4" w14:textId="038E8324" w:rsidR="009F13B3" w:rsidRDefault="009F13B3" w:rsidP="00395ABA">
      <w:pPr>
        <w:pStyle w:val="TF"/>
        <w:snapToGrid w:val="0"/>
        <w:spacing w:before="120" w:after="120"/>
        <w:jc w:val="both"/>
        <w:rPr>
          <w:rFonts w:ascii="Times New Roman" w:eastAsia="宋体" w:hAnsi="Times New Roman"/>
          <w:b w:val="0"/>
          <w:kern w:val="2"/>
          <w:szCs w:val="22"/>
          <w:lang w:val="en-US" w:eastAsia="zh-CN"/>
        </w:rPr>
      </w:pPr>
      <w:r>
        <w:rPr>
          <w:rFonts w:ascii="Times New Roman" w:eastAsia="宋体" w:hAnsi="Times New Roman"/>
          <w:b w:val="0"/>
          <w:kern w:val="2"/>
          <w:szCs w:val="22"/>
          <w:lang w:val="en-US" w:eastAsia="zh-CN"/>
        </w:rPr>
        <w:t xml:space="preserve">The discussion on defining exact location of the switching period was also triggered by RAN1 LS </w:t>
      </w:r>
      <w:r w:rsidRPr="009F13B3">
        <w:rPr>
          <w:rFonts w:ascii="Times New Roman" w:eastAsia="宋体" w:hAnsi="Times New Roman"/>
          <w:b w:val="0"/>
          <w:kern w:val="2"/>
          <w:szCs w:val="22"/>
          <w:lang w:val="en-US" w:eastAsia="zh-CN"/>
        </w:rPr>
        <w:t>R1-2302198</w:t>
      </w:r>
      <w:r>
        <w:rPr>
          <w:rFonts w:ascii="Times New Roman" w:eastAsia="宋体" w:hAnsi="Times New Roman"/>
          <w:b w:val="0"/>
          <w:kern w:val="2"/>
          <w:szCs w:val="22"/>
          <w:lang w:val="en-US" w:eastAsia="zh-CN"/>
        </w:rPr>
        <w:t xml:space="preserve">. RAN4 has endorsed the draftCR in </w:t>
      </w:r>
      <w:r w:rsidR="001D3C5A">
        <w:rPr>
          <w:rFonts w:ascii="Times New Roman" w:eastAsia="宋体" w:hAnsi="Times New Roman"/>
          <w:b w:val="0"/>
          <w:kern w:val="2"/>
          <w:szCs w:val="22"/>
          <w:lang w:val="en-US" w:eastAsia="zh-CN"/>
        </w:rPr>
        <w:t>[3]</w:t>
      </w:r>
      <w:r>
        <w:rPr>
          <w:rFonts w:ascii="Times New Roman" w:eastAsia="宋体" w:hAnsi="Times New Roman"/>
          <w:b w:val="0"/>
          <w:kern w:val="2"/>
          <w:szCs w:val="22"/>
          <w:lang w:val="en-US" w:eastAsia="zh-CN"/>
        </w:rPr>
        <w:t xml:space="preserve"> to clarify that the time mask in 38.101-1/3 is applicable to the case when switching period is longer than the duration of no transmission between switch-from and switch-to bands, and </w:t>
      </w:r>
      <w:r w:rsidRPr="009F13B3">
        <w:rPr>
          <w:rFonts w:ascii="Times New Roman" w:eastAsia="宋体" w:hAnsi="Times New Roman"/>
          <w:b w:val="0"/>
          <w:kern w:val="2"/>
          <w:szCs w:val="22"/>
          <w:lang w:val="en-US" w:eastAsia="zh-CN"/>
        </w:rPr>
        <w:t xml:space="preserve">the RRC signalling </w:t>
      </w:r>
      <w:r w:rsidRPr="009F13B3">
        <w:rPr>
          <w:rFonts w:ascii="Times New Roman" w:eastAsia="宋体" w:hAnsi="Times New Roman"/>
          <w:b w:val="0"/>
          <w:i/>
          <w:kern w:val="2"/>
          <w:szCs w:val="22"/>
          <w:lang w:val="en-US" w:eastAsia="zh-CN"/>
        </w:rPr>
        <w:t>uplinkTxSwitchingPeriodLocation</w:t>
      </w:r>
      <w:r w:rsidRPr="009F13B3">
        <w:rPr>
          <w:rFonts w:ascii="Times New Roman" w:eastAsia="宋体" w:hAnsi="Times New Roman"/>
          <w:b w:val="0"/>
          <w:kern w:val="2"/>
          <w:szCs w:val="22"/>
          <w:lang w:val="en-US" w:eastAsia="zh-CN"/>
        </w:rPr>
        <w:t xml:space="preserve"> does not take effect in this case</w:t>
      </w:r>
      <w:r>
        <w:rPr>
          <w:rFonts w:ascii="Times New Roman" w:eastAsia="宋体" w:hAnsi="Times New Roman"/>
          <w:b w:val="0"/>
          <w:kern w:val="2"/>
          <w:szCs w:val="22"/>
          <w:lang w:val="en-US" w:eastAsia="zh-CN"/>
        </w:rPr>
        <w:t xml:space="preserve">. The exact time domain location of switching period should not be additionally define in Rel-16/17 since there was no such limitation. </w:t>
      </w:r>
      <w:r w:rsidRPr="009F13B3">
        <w:rPr>
          <w:rFonts w:ascii="Times New Roman" w:eastAsia="宋体" w:hAnsi="Times New Roman"/>
          <w:b w:val="0"/>
          <w:kern w:val="2"/>
          <w:szCs w:val="22"/>
          <w:lang w:val="en-US" w:eastAsia="zh-CN"/>
        </w:rPr>
        <w:t>Time domain location of switching period is up to UE implementation with flexibility</w:t>
      </w:r>
      <w:r>
        <w:rPr>
          <w:rFonts w:ascii="Times New Roman" w:eastAsia="宋体" w:hAnsi="Times New Roman"/>
          <w:b w:val="0"/>
          <w:kern w:val="2"/>
          <w:szCs w:val="22"/>
          <w:lang w:val="en-US" w:eastAsia="zh-CN"/>
        </w:rPr>
        <w:t>. Thus f</w:t>
      </w:r>
      <w:r w:rsidRPr="009F13B3">
        <w:rPr>
          <w:rFonts w:ascii="Times New Roman" w:eastAsia="宋体" w:hAnsi="Times New Roman"/>
          <w:b w:val="0"/>
          <w:kern w:val="2"/>
          <w:szCs w:val="22"/>
          <w:lang w:val="en-US" w:eastAsia="zh-CN"/>
        </w:rPr>
        <w:t>ixed time domain location for Rel-16/17</w:t>
      </w:r>
      <w:r>
        <w:rPr>
          <w:rFonts w:ascii="Times New Roman" w:eastAsia="宋体" w:hAnsi="Times New Roman"/>
          <w:b w:val="0"/>
          <w:kern w:val="2"/>
          <w:szCs w:val="22"/>
          <w:lang w:val="en-US" w:eastAsia="zh-CN"/>
        </w:rPr>
        <w:t xml:space="preserve"> is not backward-compatible.</w:t>
      </w:r>
    </w:p>
    <w:p w14:paraId="54B79017" w14:textId="401A7D50" w:rsidR="009F4164" w:rsidRDefault="009F4164" w:rsidP="00AA37CB">
      <w:pPr>
        <w:pStyle w:val="af0"/>
        <w:rPr>
          <w:rFonts w:eastAsia="宋体"/>
          <w:b w:val="0"/>
          <w:kern w:val="2"/>
          <w:szCs w:val="22"/>
          <w:lang w:val="en-US" w:eastAsia="zh-CN"/>
        </w:rPr>
      </w:pPr>
      <w:bookmarkStart w:id="3" w:name="_Ref134905012"/>
      <w:r w:rsidRPr="00AA37CB">
        <w:rPr>
          <w:i/>
        </w:rPr>
        <w:t xml:space="preserve">Observation </w:t>
      </w:r>
      <w:r w:rsidRPr="00AA37CB">
        <w:rPr>
          <w:i/>
        </w:rPr>
        <w:fldChar w:fldCharType="begin"/>
      </w:r>
      <w:r w:rsidRPr="00AA37CB">
        <w:rPr>
          <w:i/>
        </w:rPr>
        <w:instrText xml:space="preserve"> SEQ Observation \* ARABIC </w:instrText>
      </w:r>
      <w:r w:rsidRPr="00AA37CB">
        <w:rPr>
          <w:i/>
        </w:rPr>
        <w:fldChar w:fldCharType="separate"/>
      </w:r>
      <w:r w:rsidRPr="00AA37CB">
        <w:rPr>
          <w:i/>
          <w:noProof/>
        </w:rPr>
        <w:t>1</w:t>
      </w:r>
      <w:r w:rsidRPr="00AA37CB">
        <w:rPr>
          <w:i/>
        </w:rPr>
        <w:fldChar w:fldCharType="end"/>
      </w:r>
      <w:r w:rsidRPr="00AA37CB">
        <w:rPr>
          <w:i/>
        </w:rPr>
        <w:t>:</w:t>
      </w:r>
      <w:r>
        <w:t xml:space="preserve"> </w:t>
      </w:r>
      <w:r>
        <w:rPr>
          <w:i/>
        </w:rPr>
        <w:t>F</w:t>
      </w:r>
      <w:r w:rsidRPr="000311B7">
        <w:rPr>
          <w:i/>
        </w:rPr>
        <w:t>ixed time domain</w:t>
      </w:r>
      <w:r>
        <w:rPr>
          <w:i/>
        </w:rPr>
        <w:t xml:space="preserve"> switching period</w:t>
      </w:r>
      <w:r w:rsidRPr="000311B7">
        <w:rPr>
          <w:i/>
        </w:rPr>
        <w:t xml:space="preserve"> location for Rel-16/17 is not backward-compatible</w:t>
      </w:r>
      <w:r>
        <w:rPr>
          <w:i/>
        </w:rPr>
        <w:t>.</w:t>
      </w:r>
      <w:bookmarkEnd w:id="3"/>
    </w:p>
    <w:p w14:paraId="0C8B04F8" w14:textId="24A9FA1A" w:rsidR="000311B7" w:rsidRDefault="009F13B3" w:rsidP="00395ABA">
      <w:pPr>
        <w:pStyle w:val="TF"/>
        <w:snapToGrid w:val="0"/>
        <w:spacing w:before="120" w:after="120"/>
        <w:jc w:val="both"/>
        <w:rPr>
          <w:rFonts w:ascii="Times New Roman" w:hAnsi="Times New Roman"/>
          <w:i/>
        </w:rPr>
      </w:pPr>
      <w:bookmarkStart w:id="4" w:name="_Ref134524480"/>
      <w:r w:rsidRPr="009F13B3">
        <w:rPr>
          <w:rFonts w:ascii="Times New Roman" w:hAnsi="Times New Roman"/>
          <w:i/>
        </w:rPr>
        <w:t xml:space="preserve">Proposal </w:t>
      </w:r>
      <w:r w:rsidRPr="009F13B3">
        <w:rPr>
          <w:rFonts w:ascii="Times New Roman" w:hAnsi="Times New Roman"/>
          <w:i/>
        </w:rPr>
        <w:fldChar w:fldCharType="begin"/>
      </w:r>
      <w:r w:rsidRPr="009F13B3">
        <w:rPr>
          <w:rFonts w:ascii="Times New Roman" w:hAnsi="Times New Roman"/>
          <w:i/>
        </w:rPr>
        <w:instrText xml:space="preserve"> SEQ Proposal \* ARABIC </w:instrText>
      </w:r>
      <w:r w:rsidRPr="009F13B3">
        <w:rPr>
          <w:rFonts w:ascii="Times New Roman" w:hAnsi="Times New Roman"/>
          <w:i/>
        </w:rPr>
        <w:fldChar w:fldCharType="separate"/>
      </w:r>
      <w:r w:rsidR="00B7168D">
        <w:rPr>
          <w:rFonts w:ascii="Times New Roman" w:hAnsi="Times New Roman"/>
          <w:i/>
          <w:noProof/>
        </w:rPr>
        <w:t>4</w:t>
      </w:r>
      <w:r w:rsidRPr="009F13B3">
        <w:rPr>
          <w:rFonts w:ascii="Times New Roman" w:hAnsi="Times New Roman"/>
          <w:i/>
        </w:rPr>
        <w:fldChar w:fldCharType="end"/>
      </w:r>
      <w:r w:rsidRPr="009F13B3">
        <w:rPr>
          <w:rFonts w:ascii="Times New Roman" w:hAnsi="Times New Roman"/>
          <w:i/>
        </w:rPr>
        <w:t>:</w:t>
      </w:r>
      <w:r w:rsidR="006A3CFA">
        <w:rPr>
          <w:rFonts w:ascii="Times New Roman" w:hAnsi="Times New Roman"/>
          <w:i/>
        </w:rPr>
        <w:t xml:space="preserve"> RAN4 don't support defining time domain location of switching period </w:t>
      </w:r>
      <w:r w:rsidR="0020629B">
        <w:rPr>
          <w:rFonts w:ascii="Times New Roman" w:hAnsi="Times New Roman"/>
          <w:i/>
        </w:rPr>
        <w:t>in</w:t>
      </w:r>
      <w:r w:rsidR="006A3CFA">
        <w:rPr>
          <w:rFonts w:ascii="Times New Roman" w:hAnsi="Times New Roman"/>
          <w:i/>
        </w:rPr>
        <w:t xml:space="preserve"> Rel-16/17</w:t>
      </w:r>
      <w:r w:rsidR="000311B7">
        <w:rPr>
          <w:rFonts w:ascii="Times New Roman" w:hAnsi="Times New Roman"/>
          <w:i/>
        </w:rPr>
        <w:t>.</w:t>
      </w:r>
      <w:bookmarkEnd w:id="4"/>
    </w:p>
    <w:p w14:paraId="46030EF7" w14:textId="2AE14CA3" w:rsidR="009F13B3" w:rsidRDefault="000311B7" w:rsidP="00395ABA">
      <w:pPr>
        <w:pStyle w:val="TF"/>
        <w:snapToGrid w:val="0"/>
        <w:spacing w:before="120" w:after="120"/>
        <w:jc w:val="both"/>
        <w:rPr>
          <w:rFonts w:ascii="Times New Roman" w:hAnsi="Times New Roman"/>
          <w:b w:val="0"/>
        </w:rPr>
      </w:pPr>
      <w:r>
        <w:rPr>
          <w:rFonts w:ascii="Times New Roman" w:hAnsi="Times New Roman"/>
          <w:b w:val="0"/>
        </w:rPr>
        <w:t>However, in Rel-18, the definition of the actual start point of the transmission on the switch-to band is helpful for the network to locate the DL interruption period as it is up to scheduling restriction, and without NBC issue. In our view, from RAN1’s spec, the concept T</w:t>
      </w:r>
      <w:r w:rsidRPr="000311B7">
        <w:rPr>
          <w:rFonts w:ascii="Times New Roman" w:hAnsi="Times New Roman"/>
          <w:b w:val="0"/>
          <w:vertAlign w:val="subscript"/>
        </w:rPr>
        <w:t>0</w:t>
      </w:r>
      <w:r>
        <w:rPr>
          <w:rFonts w:ascii="Times New Roman" w:hAnsi="Times New Roman"/>
          <w:b w:val="0"/>
        </w:rPr>
        <w:t xml:space="preserve"> is the scheduled start point of the transmission, and when the switching period impacts the transmission on switch-to band, the actual start point would be later than T</w:t>
      </w:r>
      <w:r w:rsidRPr="001B78DD">
        <w:rPr>
          <w:rFonts w:ascii="Times New Roman" w:hAnsi="Times New Roman"/>
          <w:b w:val="0"/>
          <w:vertAlign w:val="subscript"/>
        </w:rPr>
        <w:t>0</w:t>
      </w:r>
      <w:r>
        <w:rPr>
          <w:rFonts w:ascii="Times New Roman" w:hAnsi="Times New Roman"/>
          <w:b w:val="0"/>
        </w:rPr>
        <w:t xml:space="preserve"> in time domain. Therefore, the actual start of the transmission should be separate</w:t>
      </w:r>
      <w:r w:rsidR="001B78DD">
        <w:rPr>
          <w:rFonts w:ascii="Times New Roman" w:hAnsi="Times New Roman"/>
          <w:b w:val="0"/>
        </w:rPr>
        <w:t>d</w:t>
      </w:r>
      <w:r>
        <w:rPr>
          <w:rFonts w:ascii="Times New Roman" w:hAnsi="Times New Roman"/>
          <w:b w:val="0"/>
        </w:rPr>
        <w:t xml:space="preserve"> from T</w:t>
      </w:r>
      <w:r w:rsidRPr="000311B7">
        <w:rPr>
          <w:rFonts w:ascii="Times New Roman" w:hAnsi="Times New Roman"/>
          <w:b w:val="0"/>
          <w:vertAlign w:val="subscript"/>
        </w:rPr>
        <w:t>0</w:t>
      </w:r>
      <w:r>
        <w:rPr>
          <w:rFonts w:ascii="Times New Roman" w:hAnsi="Times New Roman"/>
          <w:b w:val="0"/>
        </w:rPr>
        <w:t>, if it is agreed to be defined.</w:t>
      </w:r>
    </w:p>
    <w:p w14:paraId="6A6230A9" w14:textId="7868BDCB" w:rsidR="0034498B" w:rsidRDefault="001B78DD" w:rsidP="00395ABA">
      <w:pPr>
        <w:pStyle w:val="TF"/>
        <w:snapToGrid w:val="0"/>
        <w:spacing w:before="120" w:after="120"/>
        <w:jc w:val="both"/>
        <w:rPr>
          <w:rFonts w:ascii="Times New Roman" w:hAnsi="Times New Roman"/>
          <w:b w:val="0"/>
          <w:lang w:eastAsia="en-US"/>
        </w:rPr>
      </w:pPr>
      <w:r>
        <w:rPr>
          <w:rFonts w:ascii="Times New Roman" w:eastAsia="宋体" w:hAnsi="Times New Roman"/>
          <w:b w:val="0"/>
          <w:kern w:val="2"/>
          <w:szCs w:val="22"/>
          <w:lang w:val="en-US" w:eastAsia="zh-CN"/>
        </w:rPr>
        <w:t xml:space="preserve">In Rel-18, one Tx switching instance includes one band pair switching and two band pairs switching concurrently. </w:t>
      </w:r>
      <w:r w:rsidR="003B52A5">
        <w:rPr>
          <w:rFonts w:ascii="Times New Roman" w:eastAsia="宋体" w:hAnsi="Times New Roman"/>
          <w:b w:val="0"/>
          <w:kern w:val="2"/>
          <w:szCs w:val="22"/>
          <w:lang w:val="en-US" w:eastAsia="zh-CN"/>
        </w:rPr>
        <w:t xml:space="preserve">The actual start point of the transmission(s) on switch-to band(s) </w:t>
      </w:r>
      <w:r w:rsidR="0034498B" w:rsidRPr="0034498B">
        <w:rPr>
          <w:rFonts w:ascii="Times New Roman" w:hAnsi="Times New Roman"/>
          <w:b w:val="0"/>
          <w:i/>
          <w:lang w:eastAsia="en-US"/>
        </w:rPr>
        <w:t>T</w:t>
      </w:r>
      <w:r w:rsidR="0034498B" w:rsidRPr="0034498B">
        <w:rPr>
          <w:rFonts w:ascii="Times New Roman" w:hAnsi="Times New Roman"/>
          <w:b w:val="0"/>
          <w:i/>
          <w:vertAlign w:val="subscript"/>
          <w:lang w:eastAsia="en-US"/>
        </w:rPr>
        <w:t>start</w:t>
      </w:r>
      <w:r w:rsidR="0034498B" w:rsidRPr="0034498B">
        <w:rPr>
          <w:rFonts w:ascii="Times New Roman" w:eastAsia="宋体" w:hAnsi="Times New Roman"/>
          <w:b w:val="0"/>
          <w:i/>
          <w:kern w:val="2"/>
          <w:szCs w:val="22"/>
          <w:lang w:val="en-US" w:eastAsia="zh-CN"/>
        </w:rPr>
        <w:t xml:space="preserve"> </w:t>
      </w:r>
      <w:r w:rsidR="003B52A5">
        <w:rPr>
          <w:rFonts w:ascii="Times New Roman" w:eastAsia="宋体" w:hAnsi="Times New Roman"/>
          <w:b w:val="0"/>
          <w:kern w:val="2"/>
          <w:szCs w:val="22"/>
          <w:lang w:val="en-US" w:eastAsia="zh-CN"/>
        </w:rPr>
        <w:t xml:space="preserve">should be defined </w:t>
      </w:r>
      <w:r w:rsidR="0034498B">
        <w:rPr>
          <w:rFonts w:ascii="Times New Roman" w:eastAsia="宋体" w:hAnsi="Times New Roman"/>
          <w:b w:val="0"/>
          <w:kern w:val="2"/>
          <w:szCs w:val="22"/>
          <w:lang w:val="en-US" w:eastAsia="zh-CN"/>
        </w:rPr>
        <w:t xml:space="preserve">per Tx switching instance. </w:t>
      </w:r>
      <w:r w:rsidR="003B52A5">
        <w:rPr>
          <w:rFonts w:ascii="Times New Roman" w:eastAsia="宋体" w:hAnsi="Times New Roman"/>
          <w:b w:val="0"/>
          <w:kern w:val="2"/>
          <w:szCs w:val="22"/>
          <w:lang w:val="en-US" w:eastAsia="zh-CN"/>
        </w:rPr>
        <w:t xml:space="preserve">For the case of two band pairs switching, when the band with the highest priority is one of the switch-to bands, or when the band with the highest priority is one of the switch-from bands and </w:t>
      </w:r>
      <w:r w:rsidR="003B52A5">
        <w:rPr>
          <w:rFonts w:ascii="Times New Roman" w:hAnsi="Times New Roman"/>
          <w:b w:val="0"/>
          <w:lang w:eastAsia="en-US"/>
        </w:rPr>
        <w:t xml:space="preserve">the duration of no transmission before the transmissions on the switch-to bands is sufficient for switching, </w:t>
      </w:r>
      <w:r w:rsidR="0034498B">
        <w:rPr>
          <w:rFonts w:ascii="Times New Roman" w:hAnsi="Times New Roman"/>
          <w:b w:val="0"/>
          <w:lang w:eastAsia="en-US"/>
        </w:rPr>
        <w:t xml:space="preserve">define one </w:t>
      </w:r>
      <w:r w:rsidR="003B52A5">
        <w:rPr>
          <w:rFonts w:ascii="Times New Roman" w:hAnsi="Times New Roman"/>
          <w:b w:val="0"/>
          <w:lang w:eastAsia="en-US"/>
        </w:rPr>
        <w:t xml:space="preserve">actual start point </w:t>
      </w:r>
      <w:r w:rsidR="003B52A5" w:rsidRPr="0034498B">
        <w:rPr>
          <w:rFonts w:ascii="Times New Roman" w:hAnsi="Times New Roman"/>
          <w:b w:val="0"/>
          <w:i/>
          <w:lang w:eastAsia="en-US"/>
        </w:rPr>
        <w:t>T</w:t>
      </w:r>
      <w:r w:rsidR="003B52A5" w:rsidRPr="0034498B">
        <w:rPr>
          <w:rFonts w:ascii="Times New Roman" w:hAnsi="Times New Roman"/>
          <w:b w:val="0"/>
          <w:i/>
          <w:vertAlign w:val="subscript"/>
          <w:lang w:eastAsia="en-US"/>
        </w:rPr>
        <w:t>start</w:t>
      </w:r>
      <w:r w:rsidR="003B52A5">
        <w:rPr>
          <w:rFonts w:ascii="Times New Roman" w:hAnsi="Times New Roman"/>
          <w:b w:val="0"/>
          <w:lang w:eastAsia="en-US"/>
        </w:rPr>
        <w:t xml:space="preserve"> </w:t>
      </w:r>
      <w:r w:rsidR="0034498B">
        <w:rPr>
          <w:rFonts w:ascii="Times New Roman" w:hAnsi="Times New Roman"/>
          <w:b w:val="0"/>
          <w:lang w:eastAsia="en-US"/>
        </w:rPr>
        <w:t>for both the band pairs in the Tx switching instance</w:t>
      </w:r>
      <w:r w:rsidR="00B71CB3">
        <w:rPr>
          <w:rFonts w:ascii="Times New Roman" w:hAnsi="Times New Roman"/>
          <w:b w:val="0"/>
          <w:lang w:eastAsia="en-US"/>
        </w:rPr>
        <w:t xml:space="preserve"> as illustrated </w:t>
      </w:r>
      <w:r w:rsidR="00B71CB3" w:rsidRPr="00B71CB3">
        <w:rPr>
          <w:rFonts w:ascii="Times New Roman" w:hAnsi="Times New Roman"/>
          <w:b w:val="0"/>
          <w:lang w:eastAsia="en-US"/>
        </w:rPr>
        <w:t xml:space="preserve">in </w:t>
      </w:r>
      <w:r w:rsidR="00B71CB3" w:rsidRPr="00B71CB3">
        <w:rPr>
          <w:rFonts w:ascii="Times New Roman" w:hAnsi="Times New Roman"/>
          <w:b w:val="0"/>
          <w:lang w:eastAsia="en-US"/>
        </w:rPr>
        <w:fldChar w:fldCharType="begin"/>
      </w:r>
      <w:r w:rsidR="00B71CB3" w:rsidRPr="00B71CB3">
        <w:rPr>
          <w:rFonts w:ascii="Times New Roman" w:hAnsi="Times New Roman"/>
          <w:b w:val="0"/>
          <w:lang w:eastAsia="en-US"/>
        </w:rPr>
        <w:instrText xml:space="preserve"> REF _Ref134523474 \h  \* MERGEFORMAT </w:instrText>
      </w:r>
      <w:r w:rsidR="00B71CB3" w:rsidRPr="00B71CB3">
        <w:rPr>
          <w:rFonts w:ascii="Times New Roman" w:hAnsi="Times New Roman"/>
          <w:b w:val="0"/>
          <w:lang w:eastAsia="en-US"/>
        </w:rPr>
      </w:r>
      <w:r w:rsidR="00B71CB3" w:rsidRPr="00B71CB3">
        <w:rPr>
          <w:rFonts w:ascii="Times New Roman" w:hAnsi="Times New Roman"/>
          <w:b w:val="0"/>
          <w:lang w:eastAsia="en-US"/>
        </w:rPr>
        <w:fldChar w:fldCharType="separate"/>
      </w:r>
      <w:r w:rsidR="00B7168D" w:rsidRPr="00B7168D">
        <w:rPr>
          <w:rFonts w:ascii="Times New Roman" w:hAnsi="Times New Roman"/>
          <w:b w:val="0"/>
        </w:rPr>
        <w:t xml:space="preserve">Figure </w:t>
      </w:r>
      <w:r w:rsidR="00B7168D" w:rsidRPr="00B7168D">
        <w:rPr>
          <w:rFonts w:ascii="Times New Roman" w:hAnsi="Times New Roman"/>
          <w:b w:val="0"/>
          <w:noProof/>
        </w:rPr>
        <w:t>1</w:t>
      </w:r>
      <w:r w:rsidR="00B71CB3" w:rsidRPr="00B71CB3">
        <w:rPr>
          <w:rFonts w:ascii="Times New Roman" w:hAnsi="Times New Roman"/>
          <w:b w:val="0"/>
          <w:lang w:eastAsia="en-US"/>
        </w:rPr>
        <w:fldChar w:fldCharType="end"/>
      </w:r>
      <w:r w:rsidR="003B52A5" w:rsidRPr="00B71CB3">
        <w:rPr>
          <w:rFonts w:ascii="Times New Roman" w:hAnsi="Times New Roman"/>
          <w:b w:val="0"/>
          <w:lang w:eastAsia="en-US"/>
        </w:rPr>
        <w:t>.</w:t>
      </w:r>
      <w:r w:rsidR="003B52A5">
        <w:rPr>
          <w:rFonts w:ascii="Times New Roman" w:hAnsi="Times New Roman"/>
          <w:b w:val="0"/>
          <w:lang w:eastAsia="en-US"/>
        </w:rPr>
        <w:t xml:space="preserve"> </w:t>
      </w:r>
    </w:p>
    <w:p w14:paraId="481F9311" w14:textId="27E9E5CE" w:rsidR="0034498B" w:rsidRDefault="009C67DC" w:rsidP="0034498B">
      <w:pPr>
        <w:pStyle w:val="TF"/>
        <w:keepNext/>
        <w:snapToGrid w:val="0"/>
        <w:spacing w:before="120" w:after="120"/>
        <w:rPr>
          <w:noProof/>
        </w:rPr>
      </w:pPr>
      <w:r>
        <w:rPr>
          <w:noProof/>
          <w:lang w:val="en-US" w:eastAsia="zh-CN"/>
        </w:rPr>
        <w:drawing>
          <wp:inline distT="0" distB="0" distL="0" distR="0" wp14:anchorId="2F21E96D" wp14:editId="4304BD95">
            <wp:extent cx="3042000" cy="1004400"/>
            <wp:effectExtent l="0" t="0" r="635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2000" cy="1004400"/>
                    </a:xfrm>
                    <a:prstGeom prst="rect">
                      <a:avLst/>
                    </a:prstGeom>
                  </pic:spPr>
                </pic:pic>
              </a:graphicData>
            </a:graphic>
          </wp:inline>
        </w:drawing>
      </w:r>
      <w:r>
        <w:rPr>
          <w:noProof/>
        </w:rPr>
        <w:t xml:space="preserve"> </w:t>
      </w:r>
      <w:r w:rsidR="0034498B">
        <w:rPr>
          <w:noProof/>
          <w:lang w:val="en-US" w:eastAsia="zh-CN"/>
        </w:rPr>
        <w:drawing>
          <wp:inline distT="0" distB="0" distL="0" distR="0" wp14:anchorId="70080837" wp14:editId="233ED565">
            <wp:extent cx="2997926" cy="992150"/>
            <wp:effectExtent l="0" t="0" r="0" b="0"/>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0"/>
                    <a:stretch>
                      <a:fillRect/>
                    </a:stretch>
                  </pic:blipFill>
                  <pic:spPr>
                    <a:xfrm>
                      <a:off x="0" y="0"/>
                      <a:ext cx="3023206" cy="1000516"/>
                    </a:xfrm>
                    <a:prstGeom prst="rect">
                      <a:avLst/>
                    </a:prstGeom>
                  </pic:spPr>
                </pic:pic>
              </a:graphicData>
            </a:graphic>
          </wp:inline>
        </w:drawing>
      </w:r>
      <w:r w:rsidRPr="009C67DC">
        <w:rPr>
          <w:noProof/>
        </w:rPr>
        <w:t xml:space="preserve"> </w:t>
      </w:r>
    </w:p>
    <w:p w14:paraId="5122E706" w14:textId="44814E2B" w:rsidR="009C67DC" w:rsidRPr="00AA37CB" w:rsidRDefault="009C67DC" w:rsidP="00AA37CB">
      <w:pPr>
        <w:pStyle w:val="TF"/>
        <w:keepNext/>
        <w:numPr>
          <w:ilvl w:val="0"/>
          <w:numId w:val="24"/>
        </w:numPr>
        <w:snapToGrid w:val="0"/>
        <w:spacing w:after="0"/>
        <w:ind w:left="714" w:hanging="357"/>
        <w:rPr>
          <w:rFonts w:ascii="Times New Roman" w:hAnsi="Times New Roman"/>
          <w:sz w:val="18"/>
        </w:rPr>
      </w:pPr>
      <w:r>
        <w:rPr>
          <w:rFonts w:ascii="Times New Roman" w:hAnsi="Times New Roman"/>
          <w:noProof/>
          <w:sz w:val="18"/>
        </w:rPr>
        <w:t xml:space="preserve">                                                     </w:t>
      </w:r>
      <w:r w:rsidRPr="00AA37CB">
        <w:rPr>
          <w:rFonts w:ascii="Times New Roman" w:hAnsi="Times New Roman"/>
          <w:noProof/>
          <w:sz w:val="18"/>
        </w:rPr>
        <w:t>(b)</w:t>
      </w:r>
    </w:p>
    <w:p w14:paraId="7B402964" w14:textId="4C52E498" w:rsidR="0034498B" w:rsidRPr="00B71CB3" w:rsidRDefault="0034498B" w:rsidP="00972B75">
      <w:pPr>
        <w:pStyle w:val="af0"/>
        <w:spacing w:before="0"/>
        <w:jc w:val="center"/>
        <w:rPr>
          <w:b w:val="0"/>
          <w:sz w:val="18"/>
        </w:rPr>
      </w:pPr>
      <w:bookmarkStart w:id="5" w:name="_Ref134523474"/>
      <w:r w:rsidRPr="00B71CB3">
        <w:rPr>
          <w:sz w:val="18"/>
        </w:rPr>
        <w:t xml:space="preserve">Figure </w:t>
      </w:r>
      <w:r w:rsidRPr="00B71CB3">
        <w:rPr>
          <w:sz w:val="18"/>
        </w:rPr>
        <w:fldChar w:fldCharType="begin"/>
      </w:r>
      <w:r w:rsidRPr="00B71CB3">
        <w:rPr>
          <w:sz w:val="18"/>
        </w:rPr>
        <w:instrText xml:space="preserve"> SEQ Figure \* ARABIC </w:instrText>
      </w:r>
      <w:r w:rsidRPr="00B71CB3">
        <w:rPr>
          <w:sz w:val="18"/>
        </w:rPr>
        <w:fldChar w:fldCharType="separate"/>
      </w:r>
      <w:r w:rsidR="00972B75">
        <w:rPr>
          <w:noProof/>
          <w:sz w:val="18"/>
        </w:rPr>
        <w:t>1</w:t>
      </w:r>
      <w:r w:rsidRPr="00B71CB3">
        <w:rPr>
          <w:sz w:val="18"/>
        </w:rPr>
        <w:fldChar w:fldCharType="end"/>
      </w:r>
      <w:bookmarkEnd w:id="5"/>
      <w:r w:rsidR="00B71CB3">
        <w:rPr>
          <w:sz w:val="18"/>
        </w:rPr>
        <w:t xml:space="preserve"> </w:t>
      </w:r>
      <w:r w:rsidR="00B71CB3" w:rsidRPr="00B7168D">
        <w:rPr>
          <w:rFonts w:eastAsia="宋体"/>
          <w:kern w:val="2"/>
          <w:sz w:val="18"/>
          <w:szCs w:val="22"/>
          <w:lang w:val="en-US" w:eastAsia="zh-CN"/>
        </w:rPr>
        <w:t>Per Tx switching instance defined</w:t>
      </w:r>
      <w:r w:rsidR="00B71CB3" w:rsidRPr="00B7168D">
        <w:rPr>
          <w:i/>
          <w:sz w:val="18"/>
        </w:rPr>
        <w:t xml:space="preserve"> T</w:t>
      </w:r>
      <w:r w:rsidR="00B71CB3" w:rsidRPr="00B7168D">
        <w:rPr>
          <w:i/>
          <w:sz w:val="18"/>
          <w:vertAlign w:val="subscript"/>
        </w:rPr>
        <w:t xml:space="preserve">start </w:t>
      </w:r>
      <w:r w:rsidR="00B71CB3" w:rsidRPr="00B7168D">
        <w:rPr>
          <w:sz w:val="18"/>
        </w:rPr>
        <w:t>-</w:t>
      </w:r>
      <w:r w:rsidR="009C67DC">
        <w:rPr>
          <w:sz w:val="18"/>
        </w:rPr>
        <w:t>1</w:t>
      </w:r>
    </w:p>
    <w:p w14:paraId="7C42AE32" w14:textId="29686A63" w:rsidR="003B52A5" w:rsidRDefault="00B71CB3" w:rsidP="00395ABA">
      <w:pPr>
        <w:pStyle w:val="TF"/>
        <w:snapToGrid w:val="0"/>
        <w:spacing w:before="120" w:after="120"/>
        <w:jc w:val="both"/>
        <w:rPr>
          <w:rFonts w:ascii="Times New Roman" w:eastAsia="宋体" w:hAnsi="Times New Roman"/>
          <w:b w:val="0"/>
          <w:kern w:val="2"/>
          <w:szCs w:val="22"/>
          <w:lang w:val="en-US" w:eastAsia="zh-CN"/>
        </w:rPr>
      </w:pPr>
      <w:r>
        <w:rPr>
          <w:rFonts w:ascii="Times New Roman" w:eastAsia="宋体" w:hAnsi="Times New Roman"/>
          <w:b w:val="0"/>
          <w:kern w:val="2"/>
          <w:szCs w:val="22"/>
          <w:lang w:val="en-US" w:eastAsia="zh-CN"/>
        </w:rPr>
        <w:lastRenderedPageBreak/>
        <w:t xml:space="preserve">When the band with the highest priority is one of the switch-from bands and </w:t>
      </w:r>
      <w:r>
        <w:rPr>
          <w:rFonts w:ascii="Times New Roman" w:hAnsi="Times New Roman"/>
          <w:b w:val="0"/>
          <w:lang w:eastAsia="en-US"/>
        </w:rPr>
        <w:t xml:space="preserve">the duration of no transmission before the transmissions on the switch-to bands is not sufficient for switching, define one actual start point </w:t>
      </w:r>
      <w:r w:rsidRPr="0034498B">
        <w:rPr>
          <w:rFonts w:ascii="Times New Roman" w:hAnsi="Times New Roman"/>
          <w:b w:val="0"/>
          <w:i/>
          <w:lang w:eastAsia="en-US"/>
        </w:rPr>
        <w:t>T</w:t>
      </w:r>
      <w:r w:rsidRPr="0034498B">
        <w:rPr>
          <w:rFonts w:ascii="Times New Roman" w:hAnsi="Times New Roman"/>
          <w:b w:val="0"/>
          <w:i/>
          <w:vertAlign w:val="subscript"/>
          <w:lang w:eastAsia="en-US"/>
        </w:rPr>
        <w:t>start</w:t>
      </w:r>
      <w:r>
        <w:rPr>
          <w:rFonts w:ascii="Times New Roman" w:hAnsi="Times New Roman"/>
          <w:b w:val="0"/>
          <w:lang w:eastAsia="en-US"/>
        </w:rPr>
        <w:t xml:space="preserve"> for both the band pairs in the Tx switching instance as illustrated </w:t>
      </w:r>
      <w:r w:rsidRPr="00B71CB3">
        <w:rPr>
          <w:rFonts w:ascii="Times New Roman" w:hAnsi="Times New Roman"/>
          <w:b w:val="0"/>
          <w:lang w:eastAsia="en-US"/>
        </w:rPr>
        <w:t>in</w:t>
      </w:r>
      <w:r>
        <w:rPr>
          <w:rFonts w:ascii="Times New Roman" w:hAnsi="Times New Roman"/>
          <w:b w:val="0"/>
          <w:lang w:eastAsia="en-US"/>
        </w:rPr>
        <w:t xml:space="preserve"> </w:t>
      </w:r>
      <w:r w:rsidRPr="00B71CB3">
        <w:rPr>
          <w:rFonts w:ascii="Times New Roman" w:hAnsi="Times New Roman"/>
          <w:b w:val="0"/>
          <w:lang w:eastAsia="en-US"/>
        </w:rPr>
        <w:fldChar w:fldCharType="begin"/>
      </w:r>
      <w:r w:rsidRPr="00B71CB3">
        <w:rPr>
          <w:rFonts w:ascii="Times New Roman" w:hAnsi="Times New Roman"/>
          <w:b w:val="0"/>
          <w:lang w:eastAsia="en-US"/>
        </w:rPr>
        <w:instrText xml:space="preserve"> REF _Ref134523980 \h  \* MERGEFORMAT </w:instrText>
      </w:r>
      <w:r w:rsidRPr="00B71CB3">
        <w:rPr>
          <w:rFonts w:ascii="Times New Roman" w:hAnsi="Times New Roman"/>
          <w:b w:val="0"/>
          <w:lang w:eastAsia="en-US"/>
        </w:rPr>
      </w:r>
      <w:r w:rsidRPr="00B71CB3">
        <w:rPr>
          <w:rFonts w:ascii="Times New Roman" w:hAnsi="Times New Roman"/>
          <w:b w:val="0"/>
          <w:lang w:eastAsia="en-US"/>
        </w:rPr>
        <w:fldChar w:fldCharType="separate"/>
      </w:r>
      <w:r w:rsidR="00B7168D" w:rsidRPr="00B7168D">
        <w:rPr>
          <w:rFonts w:ascii="Times New Roman" w:hAnsi="Times New Roman"/>
          <w:b w:val="0"/>
          <w:sz w:val="18"/>
        </w:rPr>
        <w:t xml:space="preserve">Figure </w:t>
      </w:r>
      <w:r w:rsidR="00B7168D" w:rsidRPr="00B7168D">
        <w:rPr>
          <w:rFonts w:ascii="Times New Roman" w:hAnsi="Times New Roman"/>
          <w:b w:val="0"/>
          <w:noProof/>
          <w:sz w:val="18"/>
        </w:rPr>
        <w:t>2</w:t>
      </w:r>
      <w:r w:rsidRPr="00B71CB3">
        <w:rPr>
          <w:rFonts w:ascii="Times New Roman" w:hAnsi="Times New Roman"/>
          <w:b w:val="0"/>
          <w:lang w:eastAsia="en-US"/>
        </w:rPr>
        <w:fldChar w:fldCharType="end"/>
      </w:r>
      <w:r w:rsidRPr="00B71CB3">
        <w:rPr>
          <w:rFonts w:ascii="Times New Roman" w:hAnsi="Times New Roman"/>
          <w:b w:val="0"/>
          <w:lang w:eastAsia="en-US"/>
        </w:rPr>
        <w:t>.</w:t>
      </w:r>
    </w:p>
    <w:p w14:paraId="41CB8E67" w14:textId="286EDA94" w:rsidR="00B71CB3" w:rsidRDefault="00B71CB3" w:rsidP="00B71CB3">
      <w:pPr>
        <w:pStyle w:val="TF"/>
        <w:keepNext/>
        <w:snapToGrid w:val="0"/>
        <w:spacing w:before="120" w:after="120"/>
        <w:rPr>
          <w:noProof/>
        </w:rPr>
      </w:pPr>
      <w:r>
        <w:rPr>
          <w:noProof/>
          <w:lang w:val="en-US" w:eastAsia="zh-CN"/>
        </w:rPr>
        <w:drawing>
          <wp:inline distT="0" distB="0" distL="0" distR="0" wp14:anchorId="1EB9B736" wp14:editId="4E15E1E0">
            <wp:extent cx="2930435" cy="969874"/>
            <wp:effectExtent l="0" t="0" r="381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2184" cy="987001"/>
                    </a:xfrm>
                    <a:prstGeom prst="rect">
                      <a:avLst/>
                    </a:prstGeom>
                  </pic:spPr>
                </pic:pic>
              </a:graphicData>
            </a:graphic>
          </wp:inline>
        </w:drawing>
      </w:r>
      <w:r w:rsidR="009C67DC" w:rsidRPr="009C67DC">
        <w:rPr>
          <w:noProof/>
        </w:rPr>
        <w:t xml:space="preserve"> </w:t>
      </w:r>
      <w:r w:rsidR="009C67DC">
        <w:rPr>
          <w:noProof/>
          <w:lang w:val="en-US" w:eastAsia="zh-CN"/>
        </w:rPr>
        <w:drawing>
          <wp:inline distT="0" distB="0" distL="0" distR="0" wp14:anchorId="61D97760" wp14:editId="2A5F9DA8">
            <wp:extent cx="3060000" cy="1000800"/>
            <wp:effectExtent l="0" t="0" r="762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60000" cy="1000800"/>
                    </a:xfrm>
                    <a:prstGeom prst="rect">
                      <a:avLst/>
                    </a:prstGeom>
                  </pic:spPr>
                </pic:pic>
              </a:graphicData>
            </a:graphic>
          </wp:inline>
        </w:drawing>
      </w:r>
    </w:p>
    <w:p w14:paraId="38872E0F" w14:textId="2F294F69" w:rsidR="009C67DC" w:rsidRPr="00AA37CB" w:rsidRDefault="009C67DC" w:rsidP="00AA37CB">
      <w:pPr>
        <w:pStyle w:val="TF"/>
        <w:keepNext/>
        <w:numPr>
          <w:ilvl w:val="0"/>
          <w:numId w:val="25"/>
        </w:numPr>
        <w:snapToGrid w:val="0"/>
        <w:spacing w:after="0"/>
        <w:ind w:left="714" w:hanging="357"/>
        <w:rPr>
          <w:rFonts w:ascii="Times New Roman" w:hAnsi="Times New Roman"/>
          <w:sz w:val="18"/>
        </w:rPr>
      </w:pPr>
      <w:r>
        <w:rPr>
          <w:rFonts w:ascii="Times New Roman" w:hAnsi="Times New Roman"/>
          <w:noProof/>
          <w:sz w:val="18"/>
        </w:rPr>
        <w:t xml:space="preserve">                                                        </w:t>
      </w:r>
      <w:r w:rsidRPr="00AA37CB">
        <w:rPr>
          <w:rFonts w:ascii="Times New Roman" w:hAnsi="Times New Roman"/>
          <w:noProof/>
          <w:sz w:val="18"/>
        </w:rPr>
        <w:t>(b)</w:t>
      </w:r>
    </w:p>
    <w:p w14:paraId="124D5ACF" w14:textId="08E4537C" w:rsidR="000311B7" w:rsidRPr="00B71CB3" w:rsidRDefault="00B71CB3" w:rsidP="00972B75">
      <w:pPr>
        <w:pStyle w:val="af0"/>
        <w:snapToGrid w:val="0"/>
        <w:spacing w:before="0"/>
        <w:jc w:val="center"/>
        <w:rPr>
          <w:rFonts w:eastAsia="宋体"/>
          <w:b w:val="0"/>
          <w:kern w:val="2"/>
          <w:sz w:val="18"/>
          <w:szCs w:val="22"/>
          <w:lang w:val="en-US" w:eastAsia="zh-CN"/>
        </w:rPr>
      </w:pPr>
      <w:bookmarkStart w:id="6" w:name="_Ref134523980"/>
      <w:r w:rsidRPr="00B71CB3">
        <w:rPr>
          <w:sz w:val="18"/>
        </w:rPr>
        <w:t xml:space="preserve">Figure </w:t>
      </w:r>
      <w:r w:rsidRPr="00B71CB3">
        <w:rPr>
          <w:sz w:val="18"/>
        </w:rPr>
        <w:fldChar w:fldCharType="begin"/>
      </w:r>
      <w:r w:rsidRPr="00B71CB3">
        <w:rPr>
          <w:sz w:val="18"/>
        </w:rPr>
        <w:instrText xml:space="preserve"> SEQ Figure \* ARABIC </w:instrText>
      </w:r>
      <w:r w:rsidRPr="00B71CB3">
        <w:rPr>
          <w:sz w:val="18"/>
        </w:rPr>
        <w:fldChar w:fldCharType="separate"/>
      </w:r>
      <w:r w:rsidR="00972B75">
        <w:rPr>
          <w:noProof/>
          <w:sz w:val="18"/>
        </w:rPr>
        <w:t>2</w:t>
      </w:r>
      <w:r w:rsidRPr="00B71CB3">
        <w:rPr>
          <w:sz w:val="18"/>
        </w:rPr>
        <w:fldChar w:fldCharType="end"/>
      </w:r>
      <w:bookmarkEnd w:id="6"/>
      <w:r>
        <w:rPr>
          <w:sz w:val="18"/>
        </w:rPr>
        <w:t xml:space="preserve"> </w:t>
      </w:r>
      <w:r w:rsidRPr="00B7168D">
        <w:rPr>
          <w:rFonts w:eastAsia="宋体"/>
          <w:kern w:val="2"/>
          <w:sz w:val="18"/>
          <w:szCs w:val="22"/>
          <w:lang w:val="en-US" w:eastAsia="zh-CN"/>
        </w:rPr>
        <w:t>Per Tx switching instance defined</w:t>
      </w:r>
      <w:r w:rsidRPr="00B7168D">
        <w:rPr>
          <w:i/>
          <w:sz w:val="18"/>
        </w:rPr>
        <w:t xml:space="preserve"> T</w:t>
      </w:r>
      <w:r w:rsidRPr="00B7168D">
        <w:rPr>
          <w:i/>
          <w:sz w:val="18"/>
          <w:vertAlign w:val="subscript"/>
        </w:rPr>
        <w:t xml:space="preserve">start </w:t>
      </w:r>
      <w:r w:rsidRPr="00B7168D">
        <w:rPr>
          <w:sz w:val="18"/>
        </w:rPr>
        <w:t>-</w:t>
      </w:r>
      <w:r w:rsidR="009C67DC">
        <w:rPr>
          <w:sz w:val="18"/>
        </w:rPr>
        <w:t>2</w:t>
      </w:r>
    </w:p>
    <w:p w14:paraId="37EA57BC" w14:textId="77777777" w:rsidR="00B71CB3" w:rsidRDefault="00B71CB3" w:rsidP="00395ABA">
      <w:pPr>
        <w:pStyle w:val="TF"/>
        <w:snapToGrid w:val="0"/>
        <w:spacing w:before="120" w:after="120"/>
        <w:jc w:val="both"/>
        <w:rPr>
          <w:rFonts w:ascii="Times New Roman" w:hAnsi="Times New Roman"/>
          <w:i/>
        </w:rPr>
      </w:pPr>
    </w:p>
    <w:p w14:paraId="64981A28" w14:textId="3A63615D" w:rsidR="000311B7" w:rsidRDefault="000311B7" w:rsidP="00B71CB3">
      <w:pPr>
        <w:pStyle w:val="TF"/>
        <w:snapToGrid w:val="0"/>
        <w:spacing w:before="120" w:after="0"/>
        <w:jc w:val="both"/>
        <w:rPr>
          <w:rFonts w:ascii="Times New Roman" w:hAnsi="Times New Roman"/>
          <w:i/>
        </w:rPr>
      </w:pPr>
      <w:bookmarkStart w:id="7" w:name="_Ref134524482"/>
      <w:r w:rsidRPr="009F13B3">
        <w:rPr>
          <w:rFonts w:ascii="Times New Roman" w:hAnsi="Times New Roman"/>
          <w:i/>
        </w:rPr>
        <w:t xml:space="preserve">Proposal </w:t>
      </w:r>
      <w:r w:rsidRPr="009F13B3">
        <w:rPr>
          <w:rFonts w:ascii="Times New Roman" w:hAnsi="Times New Roman"/>
          <w:i/>
        </w:rPr>
        <w:fldChar w:fldCharType="begin"/>
      </w:r>
      <w:r w:rsidRPr="009F13B3">
        <w:rPr>
          <w:rFonts w:ascii="Times New Roman" w:hAnsi="Times New Roman"/>
          <w:i/>
        </w:rPr>
        <w:instrText xml:space="preserve"> SEQ Proposal \* ARABIC </w:instrText>
      </w:r>
      <w:r w:rsidRPr="009F13B3">
        <w:rPr>
          <w:rFonts w:ascii="Times New Roman" w:hAnsi="Times New Roman"/>
          <w:i/>
        </w:rPr>
        <w:fldChar w:fldCharType="separate"/>
      </w:r>
      <w:r w:rsidR="00B7168D">
        <w:rPr>
          <w:rFonts w:ascii="Times New Roman" w:hAnsi="Times New Roman"/>
          <w:i/>
          <w:noProof/>
        </w:rPr>
        <w:t>5</w:t>
      </w:r>
      <w:r w:rsidRPr="009F13B3">
        <w:rPr>
          <w:rFonts w:ascii="Times New Roman" w:hAnsi="Times New Roman"/>
          <w:i/>
        </w:rPr>
        <w:fldChar w:fldCharType="end"/>
      </w:r>
      <w:r w:rsidRPr="009F13B3">
        <w:rPr>
          <w:rFonts w:ascii="Times New Roman" w:hAnsi="Times New Roman"/>
          <w:i/>
        </w:rPr>
        <w:t xml:space="preserve">: </w:t>
      </w:r>
      <w:r>
        <w:rPr>
          <w:rFonts w:ascii="Times New Roman" w:hAnsi="Times New Roman"/>
          <w:i/>
        </w:rPr>
        <w:t xml:space="preserve">The actual start point of the transmission on the switch-to bands </w:t>
      </w:r>
      <w:r w:rsidR="00B851AA">
        <w:rPr>
          <w:rFonts w:ascii="Times New Roman" w:hAnsi="Times New Roman"/>
          <w:i/>
        </w:rPr>
        <w:t xml:space="preserve">can </w:t>
      </w:r>
      <w:r>
        <w:rPr>
          <w:rFonts w:ascii="Times New Roman" w:hAnsi="Times New Roman"/>
          <w:i/>
        </w:rPr>
        <w:t>be</w:t>
      </w:r>
      <w:r w:rsidR="001B78DD">
        <w:rPr>
          <w:rFonts w:ascii="Times New Roman" w:hAnsi="Times New Roman"/>
          <w:i/>
        </w:rPr>
        <w:t xml:space="preserve"> defined</w:t>
      </w:r>
      <w:r>
        <w:rPr>
          <w:rFonts w:ascii="Times New Roman" w:hAnsi="Times New Roman"/>
          <w:i/>
        </w:rPr>
        <w:t xml:space="preserve"> per</w:t>
      </w:r>
      <w:r w:rsidR="001B78DD">
        <w:rPr>
          <w:rFonts w:ascii="Times New Roman" w:hAnsi="Times New Roman"/>
          <w:i/>
        </w:rPr>
        <w:t xml:space="preserve"> Tx switching instance in Rel-18.</w:t>
      </w:r>
      <w:bookmarkEnd w:id="7"/>
    </w:p>
    <w:p w14:paraId="44173B5E" w14:textId="1D93682B" w:rsidR="001B78DD" w:rsidRPr="001B78DD" w:rsidRDefault="001B78DD" w:rsidP="00B71CB3">
      <w:pPr>
        <w:pStyle w:val="TF"/>
        <w:numPr>
          <w:ilvl w:val="0"/>
          <w:numId w:val="22"/>
        </w:numPr>
        <w:snapToGrid w:val="0"/>
        <w:spacing w:after="0"/>
        <w:ind w:left="714" w:hanging="357"/>
        <w:jc w:val="both"/>
        <w:rPr>
          <w:rFonts w:ascii="Times New Roman" w:eastAsia="宋体" w:hAnsi="Times New Roman"/>
          <w:i/>
          <w:kern w:val="2"/>
          <w:szCs w:val="22"/>
          <w:lang w:val="en-US" w:eastAsia="zh-CN"/>
        </w:rPr>
      </w:pPr>
      <w:r w:rsidRPr="001B78DD">
        <w:rPr>
          <w:rFonts w:ascii="Times New Roman" w:eastAsia="宋体" w:hAnsi="Times New Roman"/>
          <w:i/>
          <w:kern w:val="2"/>
          <w:szCs w:val="22"/>
          <w:lang w:val="en-US" w:eastAsia="zh-CN"/>
        </w:rPr>
        <w:t>The actual start point of transmission is different from T</w:t>
      </w:r>
      <w:r w:rsidRPr="001B78DD">
        <w:rPr>
          <w:rFonts w:ascii="Times New Roman" w:eastAsia="宋体" w:hAnsi="Times New Roman"/>
          <w:i/>
          <w:kern w:val="2"/>
          <w:szCs w:val="22"/>
          <w:vertAlign w:val="subscript"/>
          <w:lang w:val="en-US" w:eastAsia="zh-CN"/>
        </w:rPr>
        <w:t>0</w:t>
      </w:r>
      <w:r w:rsidR="00350F10">
        <w:rPr>
          <w:rFonts w:ascii="Times New Roman" w:eastAsia="宋体" w:hAnsi="Times New Roman"/>
          <w:i/>
          <w:kern w:val="2"/>
          <w:szCs w:val="22"/>
          <w:vertAlign w:val="subscript"/>
          <w:lang w:val="en-US" w:eastAsia="zh-CN"/>
        </w:rPr>
        <w:t xml:space="preserve"> </w:t>
      </w:r>
      <w:r w:rsidRPr="001B78DD">
        <w:rPr>
          <w:rFonts w:ascii="Times New Roman" w:eastAsia="宋体" w:hAnsi="Times New Roman"/>
          <w:i/>
          <w:kern w:val="2"/>
          <w:szCs w:val="22"/>
          <w:lang w:val="en-US" w:eastAsia="zh-CN"/>
        </w:rPr>
        <w:t>.</w:t>
      </w:r>
    </w:p>
    <w:p w14:paraId="6C77AE45" w14:textId="44957B1A" w:rsidR="001B78DD" w:rsidRPr="00B71CB3" w:rsidRDefault="00B71CB3" w:rsidP="00B71CB3">
      <w:pPr>
        <w:pStyle w:val="TF"/>
        <w:numPr>
          <w:ilvl w:val="0"/>
          <w:numId w:val="22"/>
        </w:numPr>
        <w:snapToGrid w:val="0"/>
        <w:spacing w:after="120"/>
        <w:ind w:left="714" w:hanging="357"/>
        <w:jc w:val="both"/>
        <w:rPr>
          <w:rFonts w:ascii="Times New Roman" w:eastAsia="宋体" w:hAnsi="Times New Roman"/>
          <w:i/>
          <w:kern w:val="2"/>
          <w:szCs w:val="22"/>
          <w:lang w:val="en-US" w:eastAsia="zh-CN"/>
        </w:rPr>
      </w:pPr>
      <w:r>
        <w:rPr>
          <w:rFonts w:ascii="Times New Roman" w:eastAsia="宋体" w:hAnsi="Times New Roman"/>
          <w:i/>
          <w:kern w:val="2"/>
          <w:szCs w:val="22"/>
          <w:lang w:val="en-US" w:eastAsia="zh-CN"/>
        </w:rPr>
        <w:t>D</w:t>
      </w:r>
      <w:r w:rsidRPr="00B71CB3">
        <w:rPr>
          <w:rFonts w:ascii="Times New Roman" w:eastAsia="宋体" w:hAnsi="Times New Roman"/>
          <w:i/>
          <w:kern w:val="2"/>
          <w:szCs w:val="22"/>
          <w:lang w:val="en-US" w:eastAsia="zh-CN"/>
        </w:rPr>
        <w:t>efine one actual start point T</w:t>
      </w:r>
      <w:r w:rsidRPr="00B71CB3">
        <w:rPr>
          <w:rFonts w:ascii="Times New Roman" w:eastAsia="宋体" w:hAnsi="Times New Roman"/>
          <w:i/>
          <w:kern w:val="2"/>
          <w:szCs w:val="22"/>
          <w:vertAlign w:val="subscript"/>
          <w:lang w:val="en-US" w:eastAsia="zh-CN"/>
        </w:rPr>
        <w:t>start</w:t>
      </w:r>
      <w:r w:rsidRPr="00B71CB3">
        <w:rPr>
          <w:rFonts w:ascii="Times New Roman" w:eastAsia="宋体" w:hAnsi="Times New Roman"/>
          <w:i/>
          <w:kern w:val="2"/>
          <w:szCs w:val="22"/>
          <w:lang w:val="en-US" w:eastAsia="zh-CN"/>
        </w:rPr>
        <w:t xml:space="preserve"> for both the band pairs in the Tx switching instance</w:t>
      </w:r>
    </w:p>
    <w:p w14:paraId="3E1AB5D2" w14:textId="77777777" w:rsidR="00894B93" w:rsidRDefault="00894B93" w:rsidP="00D77F18">
      <w:pPr>
        <w:rPr>
          <w:b/>
          <w:i/>
          <w:lang w:eastAsia="en-US"/>
        </w:rPr>
      </w:pPr>
    </w:p>
    <w:p w14:paraId="241A391C" w14:textId="529875D9" w:rsidR="004E7EF5" w:rsidRPr="00174A0E" w:rsidRDefault="004E7EF5" w:rsidP="00DB110C">
      <w:pPr>
        <w:pStyle w:val="ac"/>
        <w:snapToGrid w:val="0"/>
        <w:rPr>
          <w:sz w:val="20"/>
          <w:lang w:val="en-GB"/>
        </w:rPr>
      </w:pPr>
      <w:r w:rsidRPr="00174A0E">
        <w:rPr>
          <w:sz w:val="20"/>
          <w:lang w:val="en-GB"/>
        </w:rPr>
        <w:t xml:space="preserve">The time mask for two Tx chains switched between two band pairs should be considered as </w:t>
      </w:r>
      <w:r w:rsidRPr="00174A0E">
        <w:rPr>
          <w:sz w:val="20"/>
          <w:lang w:val="en-GB"/>
        </w:rPr>
        <w:fldChar w:fldCharType="begin"/>
      </w:r>
      <w:r w:rsidRPr="00174A0E">
        <w:rPr>
          <w:sz w:val="20"/>
          <w:lang w:val="en-GB"/>
        </w:rPr>
        <w:instrText xml:space="preserve"> REF _Ref130566119 \h </w:instrText>
      </w:r>
      <w:r w:rsidR="00174A0E">
        <w:rPr>
          <w:sz w:val="20"/>
          <w:lang w:val="en-GB"/>
        </w:rPr>
        <w:instrText xml:space="preserve"> \* MERGEFORMAT </w:instrText>
      </w:r>
      <w:r w:rsidRPr="00174A0E">
        <w:rPr>
          <w:sz w:val="20"/>
          <w:lang w:val="en-GB"/>
        </w:rPr>
      </w:r>
      <w:r w:rsidRPr="00174A0E">
        <w:rPr>
          <w:sz w:val="20"/>
          <w:lang w:val="en-GB"/>
        </w:rPr>
        <w:fldChar w:fldCharType="separate"/>
      </w:r>
      <w:r w:rsidR="00B7168D" w:rsidRPr="00B7168D">
        <w:rPr>
          <w:sz w:val="20"/>
        </w:rPr>
        <w:t xml:space="preserve">Figure </w:t>
      </w:r>
      <w:r w:rsidR="00B7168D" w:rsidRPr="00B7168D">
        <w:rPr>
          <w:noProof/>
          <w:sz w:val="20"/>
        </w:rPr>
        <w:t>3</w:t>
      </w:r>
      <w:r w:rsidRPr="00174A0E">
        <w:rPr>
          <w:sz w:val="20"/>
          <w:lang w:val="en-GB"/>
        </w:rPr>
        <w:fldChar w:fldCharType="end"/>
      </w:r>
      <w:r w:rsidRPr="00174A0E">
        <w:rPr>
          <w:sz w:val="20"/>
          <w:lang w:val="en-GB"/>
        </w:rPr>
        <w:t xml:space="preserve">, and </w:t>
      </w:r>
      <w:r w:rsidRPr="00174A0E">
        <w:rPr>
          <w:sz w:val="20"/>
          <w:lang w:val="en-GB"/>
        </w:rPr>
        <w:fldChar w:fldCharType="begin"/>
      </w:r>
      <w:r w:rsidRPr="00174A0E">
        <w:rPr>
          <w:sz w:val="20"/>
          <w:lang w:val="en-GB"/>
        </w:rPr>
        <w:instrText xml:space="preserve"> REF _Ref130566133 \h </w:instrText>
      </w:r>
      <w:r w:rsidR="00174A0E">
        <w:rPr>
          <w:sz w:val="20"/>
          <w:lang w:val="en-GB"/>
        </w:rPr>
        <w:instrText xml:space="preserve"> \* MERGEFORMAT </w:instrText>
      </w:r>
      <w:r w:rsidRPr="00174A0E">
        <w:rPr>
          <w:sz w:val="20"/>
          <w:lang w:val="en-GB"/>
        </w:rPr>
      </w:r>
      <w:r w:rsidRPr="00174A0E">
        <w:rPr>
          <w:sz w:val="20"/>
          <w:lang w:val="en-GB"/>
        </w:rPr>
        <w:fldChar w:fldCharType="separate"/>
      </w:r>
      <w:r w:rsidR="00B7168D" w:rsidRPr="00B7168D">
        <w:rPr>
          <w:sz w:val="20"/>
        </w:rPr>
        <w:t xml:space="preserve">Figure </w:t>
      </w:r>
      <w:r w:rsidR="00B7168D" w:rsidRPr="00B7168D">
        <w:rPr>
          <w:noProof/>
          <w:sz w:val="20"/>
        </w:rPr>
        <w:t>4</w:t>
      </w:r>
      <w:r w:rsidRPr="00174A0E">
        <w:rPr>
          <w:sz w:val="20"/>
          <w:lang w:val="en-GB"/>
        </w:rPr>
        <w:fldChar w:fldCharType="end"/>
      </w:r>
      <w:r w:rsidRPr="00174A0E">
        <w:rPr>
          <w:sz w:val="20"/>
          <w:lang w:val="en-GB"/>
        </w:rPr>
        <w:t xml:space="preserve"> if the optional capability is introduces.</w:t>
      </w:r>
      <w:r w:rsidR="00350F10">
        <w:rPr>
          <w:sz w:val="20"/>
          <w:lang w:val="en-GB"/>
        </w:rPr>
        <w:t xml:space="preserve"> There can be clarification for the time mask in Rel-18 that introducing </w:t>
      </w:r>
      <w:r w:rsidR="00350F10" w:rsidRPr="00350F10">
        <w:rPr>
          <w:sz w:val="20"/>
          <w:lang w:val="en-GB"/>
        </w:rPr>
        <w:t xml:space="preserve">one actual start point </w:t>
      </w:r>
      <w:r w:rsidR="00350F10" w:rsidRPr="00AA37CB">
        <w:rPr>
          <w:i/>
          <w:sz w:val="20"/>
          <w:lang w:val="en-GB"/>
        </w:rPr>
        <w:t>T</w:t>
      </w:r>
      <w:r w:rsidR="00350F10" w:rsidRPr="00AA37CB">
        <w:rPr>
          <w:i/>
          <w:sz w:val="20"/>
          <w:vertAlign w:val="subscript"/>
          <w:lang w:val="en-GB"/>
        </w:rPr>
        <w:t>start</w:t>
      </w:r>
      <w:r w:rsidR="00350F10" w:rsidRPr="00350F10">
        <w:rPr>
          <w:sz w:val="20"/>
          <w:lang w:val="en-GB"/>
        </w:rPr>
        <w:t xml:space="preserve"> for both the band pairs in the Tx switching instance</w:t>
      </w:r>
      <w:r w:rsidR="008A48D2">
        <w:rPr>
          <w:sz w:val="20"/>
          <w:lang w:val="en-GB"/>
        </w:rPr>
        <w:t>.</w:t>
      </w:r>
    </w:p>
    <w:p w14:paraId="0485FF2D" w14:textId="77777777" w:rsidR="004E7EF5" w:rsidRDefault="004E7EF5" w:rsidP="00DF6C5C">
      <w:pPr>
        <w:pStyle w:val="ac"/>
        <w:keepNext/>
        <w:jc w:val="center"/>
      </w:pPr>
      <w:r>
        <w:rPr>
          <w:noProof/>
        </w:rPr>
        <w:drawing>
          <wp:inline distT="0" distB="0" distL="0" distR="0" wp14:anchorId="51E3F4F0" wp14:editId="31386A03">
            <wp:extent cx="5538470" cy="3346450"/>
            <wp:effectExtent l="0" t="0" r="508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41282" cy="3347836"/>
                    </a:xfrm>
                    <a:prstGeom prst="rect">
                      <a:avLst/>
                    </a:prstGeom>
                    <a:noFill/>
                  </pic:spPr>
                </pic:pic>
              </a:graphicData>
            </a:graphic>
          </wp:inline>
        </w:drawing>
      </w:r>
    </w:p>
    <w:p w14:paraId="693A8D88" w14:textId="5C660248" w:rsidR="004E7EF5" w:rsidRPr="00174A0E" w:rsidRDefault="004E7EF5" w:rsidP="00DB110C">
      <w:pPr>
        <w:pStyle w:val="af0"/>
        <w:snapToGrid w:val="0"/>
        <w:jc w:val="center"/>
        <w:rPr>
          <w:sz w:val="18"/>
        </w:rPr>
      </w:pPr>
      <w:bookmarkStart w:id="8" w:name="_Ref130566119"/>
      <w:r w:rsidRPr="00174A0E">
        <w:rPr>
          <w:sz w:val="18"/>
        </w:rPr>
        <w:t xml:space="preserve">Figure </w:t>
      </w:r>
      <w:r w:rsidRPr="00174A0E">
        <w:rPr>
          <w:sz w:val="18"/>
        </w:rPr>
        <w:fldChar w:fldCharType="begin"/>
      </w:r>
      <w:r w:rsidRPr="00174A0E">
        <w:rPr>
          <w:sz w:val="18"/>
        </w:rPr>
        <w:instrText xml:space="preserve"> SEQ Figure \* ARABIC </w:instrText>
      </w:r>
      <w:r w:rsidRPr="00174A0E">
        <w:rPr>
          <w:sz w:val="18"/>
        </w:rPr>
        <w:fldChar w:fldCharType="separate"/>
      </w:r>
      <w:r w:rsidR="00972B75">
        <w:rPr>
          <w:noProof/>
          <w:sz w:val="18"/>
        </w:rPr>
        <w:t>3</w:t>
      </w:r>
      <w:r w:rsidRPr="00174A0E">
        <w:rPr>
          <w:sz w:val="18"/>
        </w:rPr>
        <w:fldChar w:fldCharType="end"/>
      </w:r>
      <w:bookmarkEnd w:id="8"/>
      <w:r w:rsidRPr="00174A0E">
        <w:rPr>
          <w:sz w:val="18"/>
        </w:rPr>
        <w:t xml:space="preserve"> Time mask for one transmitter switching between band X and band Z, and between band Y and band Z, where UE is not capable of uplink transmission on band Y during time period of {switching period #1 - switching period #2}, i.e., UE does not indicate [TBD-1] in the capability [TBD tx-on-non-affected-band]</w:t>
      </w:r>
    </w:p>
    <w:p w14:paraId="6C6E3764" w14:textId="77777777" w:rsidR="004E7EF5" w:rsidRDefault="004E7EF5" w:rsidP="004E7EF5">
      <w:pPr>
        <w:keepNext/>
      </w:pPr>
      <w:r>
        <w:rPr>
          <w:noProof/>
        </w:rPr>
        <w:lastRenderedPageBreak/>
        <w:drawing>
          <wp:inline distT="0" distB="0" distL="0" distR="0" wp14:anchorId="726624E7" wp14:editId="53A29A98">
            <wp:extent cx="5499100" cy="3316605"/>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99533" cy="3317264"/>
                    </a:xfrm>
                    <a:prstGeom prst="rect">
                      <a:avLst/>
                    </a:prstGeom>
                    <a:noFill/>
                  </pic:spPr>
                </pic:pic>
              </a:graphicData>
            </a:graphic>
          </wp:inline>
        </w:drawing>
      </w:r>
    </w:p>
    <w:p w14:paraId="3ED6542A" w14:textId="7E5A9E00" w:rsidR="004E7EF5" w:rsidRPr="00174A0E" w:rsidRDefault="004E7EF5" w:rsidP="00DB110C">
      <w:pPr>
        <w:pStyle w:val="af0"/>
        <w:snapToGrid w:val="0"/>
        <w:jc w:val="center"/>
        <w:rPr>
          <w:sz w:val="18"/>
        </w:rPr>
      </w:pPr>
      <w:bookmarkStart w:id="9" w:name="_Ref130566133"/>
      <w:r w:rsidRPr="00174A0E">
        <w:rPr>
          <w:sz w:val="18"/>
        </w:rPr>
        <w:t xml:space="preserve">Figure </w:t>
      </w:r>
      <w:r w:rsidRPr="00174A0E">
        <w:rPr>
          <w:sz w:val="18"/>
        </w:rPr>
        <w:fldChar w:fldCharType="begin"/>
      </w:r>
      <w:r w:rsidRPr="00174A0E">
        <w:rPr>
          <w:sz w:val="18"/>
        </w:rPr>
        <w:instrText xml:space="preserve"> SEQ Figure \* ARABIC </w:instrText>
      </w:r>
      <w:r w:rsidRPr="00174A0E">
        <w:rPr>
          <w:sz w:val="18"/>
        </w:rPr>
        <w:fldChar w:fldCharType="separate"/>
      </w:r>
      <w:r w:rsidR="00972B75">
        <w:rPr>
          <w:noProof/>
          <w:sz w:val="18"/>
        </w:rPr>
        <w:t>4</w:t>
      </w:r>
      <w:r w:rsidRPr="00174A0E">
        <w:rPr>
          <w:sz w:val="18"/>
        </w:rPr>
        <w:fldChar w:fldCharType="end"/>
      </w:r>
      <w:bookmarkEnd w:id="9"/>
      <w:r w:rsidRPr="00174A0E">
        <w:rPr>
          <w:sz w:val="18"/>
        </w:rPr>
        <w:t xml:space="preserve"> Time mask for one transmitter switching between band X and band Z, and between band Y and band Z, where UE is capable of uplink transmission on band Y during time period of {switching period #1 - switching period #2}, i.e., the UE indicates [TBD-1] in the capability [TBD tx-on-non-affected-band]</w:t>
      </w:r>
    </w:p>
    <w:p w14:paraId="2A45F30A" w14:textId="16FC0F91" w:rsidR="009C70D0" w:rsidRDefault="009C70D0" w:rsidP="009C70D0">
      <w:pPr>
        <w:snapToGrid w:val="0"/>
        <w:spacing w:beforeLines="100" w:before="312" w:after="120"/>
        <w:outlineLvl w:val="1"/>
        <w:rPr>
          <w:rFonts w:ascii="Arial" w:eastAsiaTheme="minorEastAsia" w:hAnsi="Arial" w:cstheme="minorBidi"/>
          <w:sz w:val="28"/>
          <w:szCs w:val="36"/>
        </w:rPr>
      </w:pPr>
      <w:r w:rsidRPr="00D5067E">
        <w:rPr>
          <w:rFonts w:ascii="Arial" w:eastAsiaTheme="minorEastAsia" w:hAnsi="Arial" w:cstheme="minorBidi"/>
          <w:sz w:val="28"/>
          <w:szCs w:val="36"/>
        </w:rPr>
        <w:t>2.</w:t>
      </w:r>
      <w:r>
        <w:rPr>
          <w:rFonts w:ascii="Arial" w:eastAsiaTheme="minorEastAsia" w:hAnsi="Arial" w:cstheme="minorBidi"/>
          <w:sz w:val="28"/>
          <w:szCs w:val="36"/>
        </w:rPr>
        <w:t>3</w:t>
      </w:r>
      <w:r w:rsidRPr="00D5067E">
        <w:rPr>
          <w:rFonts w:ascii="Arial" w:eastAsiaTheme="minorEastAsia" w:hAnsi="Arial" w:cstheme="minorBidi"/>
          <w:sz w:val="28"/>
          <w:szCs w:val="36"/>
        </w:rPr>
        <w:t xml:space="preserve">. </w:t>
      </w:r>
      <w:r w:rsidRPr="009C70D0">
        <w:rPr>
          <w:rFonts w:ascii="Arial" w:eastAsiaTheme="minorEastAsia" w:hAnsi="Arial" w:cstheme="minorBidi"/>
          <w:sz w:val="28"/>
          <w:szCs w:val="36"/>
        </w:rPr>
        <w:t>Band configurations for Rel-18 Tx switching</w:t>
      </w:r>
    </w:p>
    <w:p w14:paraId="657F3468" w14:textId="18E2E068" w:rsidR="00B70853" w:rsidRPr="00AD78B4" w:rsidRDefault="00B70853" w:rsidP="00DB110C">
      <w:pPr>
        <w:snapToGrid w:val="0"/>
        <w:spacing w:before="240" w:after="60"/>
        <w:jc w:val="left"/>
        <w:rPr>
          <w:rFonts w:eastAsiaTheme="minorEastAsia"/>
          <w:sz w:val="20"/>
          <w:szCs w:val="21"/>
        </w:rPr>
      </w:pPr>
      <w:r w:rsidRPr="00AD78B4">
        <w:rPr>
          <w:rFonts w:eastAsiaTheme="minorEastAsia"/>
          <w:sz w:val="20"/>
          <w:szCs w:val="21"/>
        </w:rPr>
        <w:t xml:space="preserve">In the WF </w:t>
      </w:r>
      <w:r w:rsidR="00606479">
        <w:rPr>
          <w:rFonts w:eastAsiaTheme="minorEastAsia"/>
          <w:sz w:val="20"/>
          <w:szCs w:val="21"/>
        </w:rPr>
        <w:t>[2]</w:t>
      </w:r>
      <w:r w:rsidRPr="00AD78B4">
        <w:rPr>
          <w:rFonts w:eastAsiaTheme="minorEastAsia"/>
          <w:sz w:val="20"/>
          <w:szCs w:val="21"/>
        </w:rPr>
        <w:t xml:space="preserve">, </w:t>
      </w:r>
      <w:r w:rsidR="002E3B10" w:rsidRPr="00AD78B4">
        <w:rPr>
          <w:rFonts w:eastAsiaTheme="minorEastAsia"/>
          <w:sz w:val="20"/>
          <w:szCs w:val="21"/>
        </w:rPr>
        <w:t>it was approved to further discuss the necessity of introducing the band configurations for UL Tx switching across 3 and 4 bands in the specification in the next meeting.</w:t>
      </w:r>
    </w:p>
    <w:p w14:paraId="34B96529" w14:textId="77777777" w:rsidR="009B04DA" w:rsidRPr="00AD78B4" w:rsidRDefault="00A74D2A" w:rsidP="00DB110C">
      <w:pPr>
        <w:snapToGrid w:val="0"/>
        <w:spacing w:before="240" w:after="60"/>
        <w:jc w:val="left"/>
        <w:rPr>
          <w:rFonts w:eastAsiaTheme="minorEastAsia"/>
          <w:sz w:val="20"/>
          <w:szCs w:val="21"/>
        </w:rPr>
      </w:pPr>
      <w:r w:rsidRPr="00AD78B4">
        <w:rPr>
          <w:rFonts w:eastAsiaTheme="minorEastAsia"/>
          <w:sz w:val="20"/>
          <w:szCs w:val="21"/>
        </w:rPr>
        <w:t xml:space="preserve">Which band pairs </w:t>
      </w:r>
      <w:r w:rsidR="00AE3659" w:rsidRPr="00AD78B4">
        <w:rPr>
          <w:rFonts w:eastAsiaTheme="minorEastAsia"/>
          <w:sz w:val="20"/>
          <w:szCs w:val="21"/>
        </w:rPr>
        <w:t xml:space="preserve">to </w:t>
      </w:r>
      <w:r w:rsidRPr="00AD78B4">
        <w:rPr>
          <w:rFonts w:eastAsiaTheme="minorEastAsia"/>
          <w:sz w:val="20"/>
          <w:szCs w:val="21"/>
        </w:rPr>
        <w:t xml:space="preserve">support Tx switching within </w:t>
      </w:r>
      <w:r w:rsidR="009C70D0" w:rsidRPr="00AD78B4">
        <w:rPr>
          <w:rFonts w:eastAsiaTheme="minorEastAsia"/>
          <w:sz w:val="20"/>
          <w:szCs w:val="21"/>
        </w:rPr>
        <w:t xml:space="preserve">3-band </w:t>
      </w:r>
      <w:r w:rsidR="00AE3659" w:rsidRPr="00AD78B4">
        <w:rPr>
          <w:rFonts w:eastAsiaTheme="minorEastAsia"/>
          <w:sz w:val="20"/>
          <w:szCs w:val="21"/>
        </w:rPr>
        <w:t>or</w:t>
      </w:r>
      <w:r w:rsidR="009C70D0" w:rsidRPr="00AD78B4">
        <w:rPr>
          <w:rFonts w:eastAsiaTheme="minorEastAsia"/>
          <w:sz w:val="20"/>
          <w:szCs w:val="21"/>
        </w:rPr>
        <w:t xml:space="preserve"> 4-band CA combinations </w:t>
      </w:r>
      <w:r w:rsidRPr="00AD78B4">
        <w:rPr>
          <w:rFonts w:eastAsiaTheme="minorEastAsia"/>
          <w:sz w:val="20"/>
          <w:szCs w:val="21"/>
        </w:rPr>
        <w:t xml:space="preserve">depends on the reported UE capability. And the </w:t>
      </w:r>
      <w:r w:rsidR="00B70853" w:rsidRPr="00AD78B4">
        <w:rPr>
          <w:rFonts w:eastAsiaTheme="minorEastAsia" w:hint="eastAsia"/>
          <w:sz w:val="20"/>
          <w:szCs w:val="21"/>
        </w:rPr>
        <w:t>UE</w:t>
      </w:r>
      <w:r w:rsidRPr="00AD78B4">
        <w:rPr>
          <w:rFonts w:eastAsiaTheme="minorEastAsia"/>
          <w:sz w:val="20"/>
          <w:szCs w:val="21"/>
        </w:rPr>
        <w:t xml:space="preserve"> would report </w:t>
      </w:r>
      <w:r w:rsidR="00AE3659" w:rsidRPr="00AD78B4">
        <w:rPr>
          <w:rFonts w:eastAsiaTheme="minorEastAsia"/>
          <w:sz w:val="20"/>
          <w:szCs w:val="21"/>
        </w:rPr>
        <w:t xml:space="preserve">through FeatureSet for the band whether to support uplink or downlink transmission. </w:t>
      </w:r>
      <w:r w:rsidR="008E3C81" w:rsidRPr="00AD78B4">
        <w:rPr>
          <w:rFonts w:eastAsiaTheme="minorEastAsia"/>
          <w:sz w:val="20"/>
          <w:szCs w:val="21"/>
        </w:rPr>
        <w:t xml:space="preserve">It is possible for a band to get involved in Tx switching if it supports uplink transmission. </w:t>
      </w:r>
    </w:p>
    <w:p w14:paraId="7ED9E720" w14:textId="476A974F" w:rsidR="00AE3659" w:rsidRPr="00AD78B4" w:rsidRDefault="00AE3659" w:rsidP="00DB110C">
      <w:pPr>
        <w:snapToGrid w:val="0"/>
        <w:spacing w:before="240" w:after="60"/>
        <w:jc w:val="left"/>
        <w:rPr>
          <w:rFonts w:eastAsiaTheme="minorEastAsia"/>
          <w:sz w:val="20"/>
          <w:szCs w:val="21"/>
        </w:rPr>
      </w:pPr>
      <w:r w:rsidRPr="00AD78B4">
        <w:rPr>
          <w:rFonts w:eastAsiaTheme="minorEastAsia"/>
          <w:sz w:val="20"/>
          <w:szCs w:val="21"/>
        </w:rPr>
        <w:t>The CA</w:t>
      </w:r>
      <w:r w:rsidR="008E3C81" w:rsidRPr="00AD78B4">
        <w:rPr>
          <w:rFonts w:eastAsiaTheme="minorEastAsia"/>
          <w:sz w:val="20"/>
          <w:szCs w:val="21"/>
        </w:rPr>
        <w:t xml:space="preserve"> of two bands</w:t>
      </w:r>
      <w:r w:rsidRPr="00AD78B4">
        <w:rPr>
          <w:rFonts w:eastAsiaTheme="minorEastAsia"/>
          <w:sz w:val="20"/>
          <w:szCs w:val="21"/>
        </w:rPr>
        <w:t xml:space="preserve"> in UL configuration </w:t>
      </w:r>
      <w:r w:rsidR="008E3C81" w:rsidRPr="00AD78B4">
        <w:rPr>
          <w:rFonts w:eastAsiaTheme="minorEastAsia"/>
          <w:sz w:val="20"/>
          <w:szCs w:val="21"/>
        </w:rPr>
        <w:t xml:space="preserve">support </w:t>
      </w:r>
      <w:r w:rsidR="008E3C81" w:rsidRPr="00AD78B4">
        <w:rPr>
          <w:rFonts w:eastAsiaTheme="minorEastAsia"/>
          <w:i/>
          <w:sz w:val="20"/>
          <w:szCs w:val="21"/>
        </w:rPr>
        <w:t>dualUL</w:t>
      </w:r>
      <w:r w:rsidR="008E3C81" w:rsidRPr="00AD78B4">
        <w:rPr>
          <w:rFonts w:eastAsiaTheme="minorEastAsia"/>
          <w:sz w:val="20"/>
          <w:szCs w:val="21"/>
        </w:rPr>
        <w:t xml:space="preserve"> pattern, in other words, concurrent transmission for the two bands with 1T+1T. For a band pair supporting switchedUL, it is not mandatory for the </w:t>
      </w:r>
      <w:r w:rsidR="00102804" w:rsidRPr="00AD78B4">
        <w:rPr>
          <w:rFonts w:eastAsiaTheme="minorEastAsia"/>
          <w:sz w:val="20"/>
          <w:szCs w:val="21"/>
        </w:rPr>
        <w:t xml:space="preserve">corresponding </w:t>
      </w:r>
      <w:r w:rsidR="008E3C81" w:rsidRPr="00AD78B4">
        <w:rPr>
          <w:rFonts w:eastAsiaTheme="minorEastAsia"/>
          <w:sz w:val="20"/>
          <w:szCs w:val="21"/>
        </w:rPr>
        <w:t>two bands supporting UL CA.</w:t>
      </w:r>
    </w:p>
    <w:p w14:paraId="42A7B8FA" w14:textId="119AF1CC" w:rsidR="009C70D0" w:rsidRPr="00AD78B4" w:rsidRDefault="00102804" w:rsidP="00DB110C">
      <w:pPr>
        <w:snapToGrid w:val="0"/>
        <w:spacing w:before="240" w:after="60"/>
        <w:jc w:val="left"/>
        <w:rPr>
          <w:rFonts w:eastAsiaTheme="minorEastAsia"/>
          <w:sz w:val="20"/>
          <w:szCs w:val="21"/>
        </w:rPr>
      </w:pPr>
      <w:r w:rsidRPr="00AD78B4">
        <w:rPr>
          <w:rFonts w:eastAsiaTheme="minorEastAsia" w:hint="eastAsia"/>
          <w:sz w:val="20"/>
          <w:szCs w:val="21"/>
        </w:rPr>
        <w:t>C</w:t>
      </w:r>
      <w:r w:rsidRPr="00AD78B4">
        <w:rPr>
          <w:rFonts w:eastAsiaTheme="minorEastAsia"/>
          <w:sz w:val="20"/>
          <w:szCs w:val="21"/>
        </w:rPr>
        <w:t>onsidering Rel-18 Tx switching includes 1</w:t>
      </w:r>
      <w:r w:rsidR="009C70D0" w:rsidRPr="00AD78B4">
        <w:rPr>
          <w:rFonts w:eastAsiaTheme="minorEastAsia" w:hint="eastAsia"/>
          <w:sz w:val="20"/>
          <w:szCs w:val="21"/>
        </w:rPr>
        <w:t>Tx-1T</w:t>
      </w:r>
      <w:r w:rsidR="009C70D0" w:rsidRPr="00AD78B4">
        <w:rPr>
          <w:rFonts w:eastAsiaTheme="minorEastAsia"/>
          <w:sz w:val="20"/>
          <w:szCs w:val="21"/>
        </w:rPr>
        <w:t>x</w:t>
      </w:r>
      <w:r w:rsidRPr="00AD78B4">
        <w:rPr>
          <w:rFonts w:eastAsiaTheme="minorEastAsia"/>
          <w:sz w:val="20"/>
          <w:szCs w:val="21"/>
        </w:rPr>
        <w:t>. For a 4-band CA combination, even though no UL configuration, it can support switching among</w:t>
      </w:r>
      <w:r w:rsidR="009C70D0" w:rsidRPr="00AD78B4">
        <w:rPr>
          <w:rFonts w:eastAsiaTheme="minorEastAsia" w:hint="eastAsia"/>
          <w:sz w:val="20"/>
          <w:szCs w:val="21"/>
        </w:rPr>
        <w:t>{</w:t>
      </w:r>
      <w:r w:rsidR="009C70D0" w:rsidRPr="00AD78B4">
        <w:rPr>
          <w:rFonts w:eastAsiaTheme="minorEastAsia"/>
          <w:sz w:val="20"/>
          <w:szCs w:val="21"/>
        </w:rPr>
        <w:t>1T, 0T, 0T, 0T</w:t>
      </w:r>
      <w:r w:rsidR="009C70D0" w:rsidRPr="00AD78B4">
        <w:rPr>
          <w:rFonts w:eastAsiaTheme="minorEastAsia" w:hint="eastAsia"/>
          <w:sz w:val="20"/>
          <w:szCs w:val="21"/>
        </w:rPr>
        <w:t>}</w:t>
      </w:r>
      <w:r w:rsidR="009C70D0" w:rsidRPr="00AD78B4">
        <w:rPr>
          <w:rFonts w:eastAsiaTheme="minorEastAsia"/>
          <w:sz w:val="20"/>
          <w:szCs w:val="21"/>
        </w:rPr>
        <w:t>,</w:t>
      </w:r>
      <w:r w:rsidR="009C70D0" w:rsidRPr="00AD78B4">
        <w:rPr>
          <w:rFonts w:eastAsiaTheme="minorEastAsia" w:hint="eastAsia"/>
          <w:sz w:val="20"/>
          <w:szCs w:val="21"/>
        </w:rPr>
        <w:t>{</w:t>
      </w:r>
      <w:r w:rsidR="009C70D0" w:rsidRPr="00AD78B4">
        <w:rPr>
          <w:rFonts w:eastAsiaTheme="minorEastAsia"/>
          <w:sz w:val="20"/>
          <w:szCs w:val="21"/>
        </w:rPr>
        <w:t>0T, 1T, 0T, 0T</w:t>
      </w:r>
      <w:r w:rsidR="009C70D0" w:rsidRPr="00AD78B4">
        <w:rPr>
          <w:rFonts w:eastAsiaTheme="minorEastAsia" w:hint="eastAsia"/>
          <w:sz w:val="20"/>
          <w:szCs w:val="21"/>
        </w:rPr>
        <w:t>}</w:t>
      </w:r>
      <w:r w:rsidR="009C70D0" w:rsidRPr="00AD78B4">
        <w:rPr>
          <w:rFonts w:eastAsiaTheme="minorEastAsia"/>
          <w:sz w:val="20"/>
          <w:szCs w:val="21"/>
        </w:rPr>
        <w:t xml:space="preserve">, </w:t>
      </w:r>
      <w:r w:rsidR="009C70D0" w:rsidRPr="00AD78B4">
        <w:rPr>
          <w:rFonts w:eastAsiaTheme="minorEastAsia" w:hint="eastAsia"/>
          <w:sz w:val="20"/>
          <w:szCs w:val="21"/>
        </w:rPr>
        <w:t>{</w:t>
      </w:r>
      <w:r w:rsidR="009C70D0" w:rsidRPr="00AD78B4">
        <w:rPr>
          <w:rFonts w:eastAsiaTheme="minorEastAsia"/>
          <w:sz w:val="20"/>
          <w:szCs w:val="21"/>
        </w:rPr>
        <w:t>0T, 0T, 1T, 0T</w:t>
      </w:r>
      <w:r w:rsidR="009C70D0" w:rsidRPr="00AD78B4">
        <w:rPr>
          <w:rFonts w:eastAsiaTheme="minorEastAsia" w:hint="eastAsia"/>
          <w:sz w:val="20"/>
          <w:szCs w:val="21"/>
        </w:rPr>
        <w:t>}</w:t>
      </w:r>
      <w:r w:rsidR="009C70D0" w:rsidRPr="00AD78B4">
        <w:rPr>
          <w:rFonts w:eastAsiaTheme="minorEastAsia"/>
          <w:sz w:val="20"/>
          <w:szCs w:val="21"/>
        </w:rPr>
        <w:t xml:space="preserve"> and </w:t>
      </w:r>
      <w:r w:rsidR="009C70D0" w:rsidRPr="00AD78B4">
        <w:rPr>
          <w:rFonts w:eastAsiaTheme="minorEastAsia" w:hint="eastAsia"/>
          <w:sz w:val="20"/>
          <w:szCs w:val="21"/>
        </w:rPr>
        <w:t>{</w:t>
      </w:r>
      <w:r w:rsidR="009C70D0" w:rsidRPr="00AD78B4">
        <w:rPr>
          <w:rFonts w:eastAsiaTheme="minorEastAsia"/>
          <w:sz w:val="20"/>
          <w:szCs w:val="21"/>
        </w:rPr>
        <w:t>0T, 0T, 0T, 1T</w:t>
      </w:r>
      <w:r w:rsidR="009C70D0" w:rsidRPr="00AD78B4">
        <w:rPr>
          <w:rFonts w:eastAsiaTheme="minorEastAsia" w:hint="eastAsia"/>
          <w:sz w:val="20"/>
          <w:szCs w:val="21"/>
        </w:rPr>
        <w:t>}</w:t>
      </w:r>
      <w:r w:rsidR="009C70D0" w:rsidRPr="00AD78B4">
        <w:rPr>
          <w:rFonts w:eastAsiaTheme="minorEastAsia"/>
          <w:sz w:val="20"/>
          <w:szCs w:val="21"/>
        </w:rPr>
        <w:t xml:space="preserve"> </w:t>
      </w:r>
      <w:r w:rsidRPr="00AD78B4">
        <w:rPr>
          <w:rFonts w:eastAsiaTheme="minorEastAsia"/>
          <w:sz w:val="20"/>
          <w:szCs w:val="21"/>
        </w:rPr>
        <w:t>on band</w:t>
      </w:r>
      <w:r w:rsidRPr="00AD78B4">
        <w:rPr>
          <w:rFonts w:eastAsiaTheme="minorEastAsia" w:hint="eastAsia"/>
          <w:sz w:val="20"/>
          <w:szCs w:val="21"/>
        </w:rPr>
        <w:t>{A</w:t>
      </w:r>
      <w:r w:rsidRPr="00AD78B4">
        <w:rPr>
          <w:rFonts w:eastAsiaTheme="minorEastAsia"/>
          <w:sz w:val="20"/>
          <w:szCs w:val="21"/>
        </w:rPr>
        <w:t>, B, C, D</w:t>
      </w:r>
      <w:r w:rsidRPr="00AD78B4">
        <w:rPr>
          <w:rFonts w:eastAsiaTheme="minorEastAsia" w:hint="eastAsia"/>
          <w:sz w:val="20"/>
          <w:szCs w:val="21"/>
        </w:rPr>
        <w:t>}</w:t>
      </w:r>
      <w:r w:rsidR="000C6ED0" w:rsidRPr="00AD78B4">
        <w:rPr>
          <w:rFonts w:eastAsiaTheme="minorEastAsia"/>
          <w:sz w:val="20"/>
          <w:szCs w:val="21"/>
        </w:rPr>
        <w:t xml:space="preserve"> if the UE report the band</w:t>
      </w:r>
      <w:r w:rsidR="00C168AA" w:rsidRPr="00AD78B4">
        <w:rPr>
          <w:rFonts w:eastAsiaTheme="minorEastAsia"/>
          <w:sz w:val="20"/>
          <w:szCs w:val="21"/>
        </w:rPr>
        <w:t xml:space="preserve"> pair A</w:t>
      </w:r>
      <w:r w:rsidR="000C6ED0" w:rsidRPr="00AD78B4">
        <w:rPr>
          <w:rFonts w:eastAsiaTheme="minorEastAsia"/>
          <w:sz w:val="20"/>
          <w:szCs w:val="21"/>
        </w:rPr>
        <w:t>+</w:t>
      </w:r>
      <w:r w:rsidR="00C168AA" w:rsidRPr="00AD78B4">
        <w:rPr>
          <w:rFonts w:eastAsiaTheme="minorEastAsia"/>
          <w:sz w:val="20"/>
          <w:szCs w:val="21"/>
        </w:rPr>
        <w:t>B, A</w:t>
      </w:r>
      <w:r w:rsidR="000C6ED0" w:rsidRPr="00AD78B4">
        <w:rPr>
          <w:rFonts w:eastAsiaTheme="minorEastAsia"/>
          <w:sz w:val="20"/>
          <w:szCs w:val="21"/>
        </w:rPr>
        <w:t>+</w:t>
      </w:r>
      <w:r w:rsidR="00C168AA" w:rsidRPr="00AD78B4">
        <w:rPr>
          <w:rFonts w:eastAsiaTheme="minorEastAsia"/>
          <w:sz w:val="20"/>
          <w:szCs w:val="21"/>
        </w:rPr>
        <w:t>C, A</w:t>
      </w:r>
      <w:r w:rsidR="000C6ED0" w:rsidRPr="00AD78B4">
        <w:rPr>
          <w:rFonts w:eastAsiaTheme="minorEastAsia"/>
          <w:sz w:val="20"/>
          <w:szCs w:val="21"/>
        </w:rPr>
        <w:t>+</w:t>
      </w:r>
      <w:r w:rsidR="00C168AA" w:rsidRPr="00AD78B4">
        <w:rPr>
          <w:rFonts w:eastAsiaTheme="minorEastAsia"/>
          <w:sz w:val="20"/>
          <w:szCs w:val="21"/>
        </w:rPr>
        <w:t>D, B</w:t>
      </w:r>
      <w:r w:rsidR="000C6ED0" w:rsidRPr="00AD78B4">
        <w:rPr>
          <w:rFonts w:eastAsiaTheme="minorEastAsia"/>
          <w:sz w:val="20"/>
          <w:szCs w:val="21"/>
        </w:rPr>
        <w:t>+</w:t>
      </w:r>
      <w:r w:rsidR="00C168AA" w:rsidRPr="00AD78B4">
        <w:rPr>
          <w:rFonts w:eastAsiaTheme="minorEastAsia"/>
          <w:sz w:val="20"/>
          <w:szCs w:val="21"/>
        </w:rPr>
        <w:t>C, B</w:t>
      </w:r>
      <w:r w:rsidR="000C6ED0" w:rsidRPr="00AD78B4">
        <w:rPr>
          <w:rFonts w:eastAsiaTheme="minorEastAsia"/>
          <w:sz w:val="20"/>
          <w:szCs w:val="21"/>
        </w:rPr>
        <w:t>+</w:t>
      </w:r>
      <w:r w:rsidR="00C168AA" w:rsidRPr="00AD78B4">
        <w:rPr>
          <w:rFonts w:eastAsiaTheme="minorEastAsia"/>
          <w:sz w:val="20"/>
          <w:szCs w:val="21"/>
        </w:rPr>
        <w:t>D</w:t>
      </w:r>
      <w:r w:rsidR="000C6ED0" w:rsidRPr="00AD78B4">
        <w:rPr>
          <w:rFonts w:eastAsiaTheme="minorEastAsia"/>
          <w:sz w:val="20"/>
          <w:szCs w:val="21"/>
        </w:rPr>
        <w:t xml:space="preserve"> and</w:t>
      </w:r>
      <w:r w:rsidR="00C168AA" w:rsidRPr="00AD78B4">
        <w:rPr>
          <w:rFonts w:eastAsiaTheme="minorEastAsia"/>
          <w:sz w:val="20"/>
          <w:szCs w:val="21"/>
        </w:rPr>
        <w:t xml:space="preserve"> C</w:t>
      </w:r>
      <w:r w:rsidR="000C6ED0" w:rsidRPr="00AD78B4">
        <w:rPr>
          <w:rFonts w:eastAsiaTheme="minorEastAsia"/>
          <w:sz w:val="20"/>
          <w:szCs w:val="21"/>
        </w:rPr>
        <w:t>+</w:t>
      </w:r>
      <w:r w:rsidR="00C168AA" w:rsidRPr="00AD78B4">
        <w:rPr>
          <w:rFonts w:eastAsiaTheme="minorEastAsia"/>
          <w:sz w:val="20"/>
          <w:szCs w:val="21"/>
        </w:rPr>
        <w:t>D</w:t>
      </w:r>
      <w:r w:rsidR="000C6ED0" w:rsidRPr="00AD78B4">
        <w:rPr>
          <w:rFonts w:eastAsiaTheme="minorEastAsia"/>
          <w:sz w:val="20"/>
          <w:szCs w:val="21"/>
        </w:rPr>
        <w:t>.</w:t>
      </w:r>
    </w:p>
    <w:p w14:paraId="0C0BC5D0" w14:textId="25B13EEE" w:rsidR="000C6ED0" w:rsidRDefault="000C6ED0" w:rsidP="00DB110C">
      <w:pPr>
        <w:snapToGrid w:val="0"/>
        <w:spacing w:before="240" w:after="60"/>
        <w:jc w:val="left"/>
        <w:rPr>
          <w:rFonts w:eastAsiaTheme="minorEastAsia"/>
          <w:sz w:val="20"/>
          <w:szCs w:val="21"/>
        </w:rPr>
      </w:pPr>
      <w:r w:rsidRPr="00AD78B4">
        <w:rPr>
          <w:rFonts w:eastAsiaTheme="minorEastAsia"/>
          <w:sz w:val="20"/>
          <w:szCs w:val="21"/>
        </w:rPr>
        <w:t>Band combination</w:t>
      </w:r>
      <w:r w:rsidR="009B04DA" w:rsidRPr="00AD78B4">
        <w:rPr>
          <w:rFonts w:eastAsiaTheme="minorEastAsia"/>
          <w:sz w:val="20"/>
          <w:szCs w:val="21"/>
        </w:rPr>
        <w:t>s</w:t>
      </w:r>
      <w:r w:rsidRPr="00AD78B4">
        <w:rPr>
          <w:rFonts w:eastAsiaTheme="minorEastAsia"/>
          <w:sz w:val="20"/>
          <w:szCs w:val="21"/>
        </w:rPr>
        <w:t xml:space="preserve"> along with UL configuration </w:t>
      </w:r>
      <w:r w:rsidR="009B04DA" w:rsidRPr="00AD78B4">
        <w:rPr>
          <w:rFonts w:eastAsiaTheme="minorEastAsia"/>
          <w:sz w:val="20"/>
          <w:szCs w:val="21"/>
        </w:rPr>
        <w:t>are</w:t>
      </w:r>
      <w:r w:rsidRPr="00AD78B4">
        <w:rPr>
          <w:rFonts w:eastAsiaTheme="minorEastAsia"/>
          <w:sz w:val="20"/>
          <w:szCs w:val="21"/>
        </w:rPr>
        <w:t xml:space="preserve"> up to the operators’ demand. For some 3-band or 4-band CA combinations, the UE may support band pair A+B, but the UL configuration of CA_nA-nB is not supported. In this case, the band pair A+B would support </w:t>
      </w:r>
      <w:r w:rsidR="005070E5" w:rsidRPr="00AD78B4">
        <w:rPr>
          <w:rFonts w:eastAsiaTheme="minorEastAsia"/>
          <w:i/>
          <w:sz w:val="20"/>
          <w:szCs w:val="21"/>
        </w:rPr>
        <w:t>switchedUL</w:t>
      </w:r>
      <w:r w:rsidR="005070E5" w:rsidRPr="00AD78B4">
        <w:rPr>
          <w:rFonts w:eastAsiaTheme="minorEastAsia"/>
          <w:sz w:val="20"/>
          <w:szCs w:val="21"/>
        </w:rPr>
        <w:t xml:space="preserve"> rather than </w:t>
      </w:r>
      <w:r w:rsidRPr="00AD78B4">
        <w:rPr>
          <w:rFonts w:eastAsiaTheme="minorEastAsia"/>
          <w:i/>
          <w:sz w:val="20"/>
          <w:szCs w:val="21"/>
        </w:rPr>
        <w:t>dualUL</w:t>
      </w:r>
      <w:r w:rsidR="009B04DA" w:rsidRPr="00AD78B4">
        <w:rPr>
          <w:rFonts w:eastAsiaTheme="minorEastAsia"/>
          <w:sz w:val="20"/>
          <w:szCs w:val="21"/>
        </w:rPr>
        <w:t xml:space="preserve"> pattern. When the network receives the reported UE capability and get enough information, it is smart enough to avoid scheduling dualUL Tx switching </w:t>
      </w:r>
      <w:r w:rsidR="009B04DA" w:rsidRPr="00AD78B4">
        <w:rPr>
          <w:rFonts w:eastAsiaTheme="minorEastAsia" w:hint="eastAsia"/>
          <w:sz w:val="20"/>
          <w:szCs w:val="21"/>
        </w:rPr>
        <w:t>{</w:t>
      </w:r>
      <w:r w:rsidR="009B04DA" w:rsidRPr="00AD78B4">
        <w:rPr>
          <w:rFonts w:eastAsiaTheme="minorEastAsia"/>
          <w:sz w:val="20"/>
          <w:szCs w:val="21"/>
        </w:rPr>
        <w:t>1T, 1T, 0T, 0T</w:t>
      </w:r>
      <w:r w:rsidR="009B04DA" w:rsidRPr="00AD78B4">
        <w:rPr>
          <w:rFonts w:eastAsiaTheme="minorEastAsia" w:hint="eastAsia"/>
          <w:sz w:val="20"/>
          <w:szCs w:val="21"/>
        </w:rPr>
        <w:t>}</w:t>
      </w:r>
      <w:r w:rsidR="009B04DA" w:rsidRPr="00AD78B4">
        <w:rPr>
          <w:rFonts w:eastAsiaTheme="minorEastAsia"/>
          <w:sz w:val="20"/>
          <w:szCs w:val="21"/>
        </w:rPr>
        <w:t xml:space="preserve"> to </w:t>
      </w:r>
      <w:r w:rsidR="009B04DA" w:rsidRPr="00AD78B4">
        <w:rPr>
          <w:rFonts w:eastAsiaTheme="minorEastAsia" w:hint="eastAsia"/>
          <w:sz w:val="20"/>
          <w:szCs w:val="21"/>
        </w:rPr>
        <w:t>{</w:t>
      </w:r>
      <w:r w:rsidR="009B04DA" w:rsidRPr="00AD78B4">
        <w:rPr>
          <w:rFonts w:eastAsiaTheme="minorEastAsia"/>
          <w:sz w:val="20"/>
          <w:szCs w:val="21"/>
        </w:rPr>
        <w:t>0T, 0T, 1T, 1T</w:t>
      </w:r>
      <w:r w:rsidR="009B04DA" w:rsidRPr="00AD78B4">
        <w:rPr>
          <w:rFonts w:eastAsiaTheme="minorEastAsia" w:hint="eastAsia"/>
          <w:sz w:val="20"/>
          <w:szCs w:val="21"/>
        </w:rPr>
        <w:t>}</w:t>
      </w:r>
      <w:r w:rsidR="009B04DA" w:rsidRPr="00AD78B4">
        <w:rPr>
          <w:rFonts w:eastAsiaTheme="minorEastAsia"/>
          <w:sz w:val="20"/>
          <w:szCs w:val="21"/>
        </w:rPr>
        <w:t xml:space="preserve"> on band </w:t>
      </w:r>
      <w:r w:rsidR="009B04DA" w:rsidRPr="00AD78B4">
        <w:rPr>
          <w:rFonts w:eastAsiaTheme="minorEastAsia" w:hint="eastAsia"/>
          <w:sz w:val="20"/>
          <w:szCs w:val="21"/>
        </w:rPr>
        <w:t>{A</w:t>
      </w:r>
      <w:r w:rsidR="009B04DA" w:rsidRPr="00AD78B4">
        <w:rPr>
          <w:rFonts w:eastAsiaTheme="minorEastAsia"/>
          <w:sz w:val="20"/>
          <w:szCs w:val="21"/>
        </w:rPr>
        <w:t>, B, C, D</w:t>
      </w:r>
      <w:r w:rsidR="009B04DA" w:rsidRPr="00AD78B4">
        <w:rPr>
          <w:rFonts w:eastAsiaTheme="minorEastAsia" w:hint="eastAsia"/>
          <w:sz w:val="20"/>
          <w:szCs w:val="21"/>
        </w:rPr>
        <w:t>}</w:t>
      </w:r>
      <w:r w:rsidR="009B04DA" w:rsidRPr="00AD78B4">
        <w:rPr>
          <w:rFonts w:eastAsiaTheme="minorEastAsia"/>
          <w:sz w:val="20"/>
          <w:szCs w:val="21"/>
        </w:rPr>
        <w:t xml:space="preserve"> if the UE doesn’t support UL CA of A+B or C+D.</w:t>
      </w:r>
    </w:p>
    <w:p w14:paraId="0957838F" w14:textId="7EE732C5" w:rsidR="00972B75" w:rsidRDefault="00860A5B" w:rsidP="00AA37CB">
      <w:pPr>
        <w:keepNext/>
        <w:snapToGrid w:val="0"/>
        <w:spacing w:before="240" w:after="60"/>
        <w:jc w:val="left"/>
      </w:pPr>
      <w:r>
        <w:rPr>
          <w:noProof/>
        </w:rPr>
        <w:lastRenderedPageBreak/>
        <w:drawing>
          <wp:inline distT="0" distB="0" distL="0" distR="0" wp14:anchorId="0693B64B" wp14:editId="0506A2DC">
            <wp:extent cx="6120130" cy="33667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3366770"/>
                    </a:xfrm>
                    <a:prstGeom prst="rect">
                      <a:avLst/>
                    </a:prstGeom>
                  </pic:spPr>
                </pic:pic>
              </a:graphicData>
            </a:graphic>
          </wp:inline>
        </w:drawing>
      </w:r>
    </w:p>
    <w:p w14:paraId="6B71F50E" w14:textId="28831B99" w:rsidR="00972B75" w:rsidRPr="00AA37CB" w:rsidRDefault="00972B75" w:rsidP="00AA37CB">
      <w:pPr>
        <w:pStyle w:val="af0"/>
        <w:jc w:val="center"/>
        <w:rPr>
          <w:rFonts w:eastAsiaTheme="minorEastAsia"/>
          <w:sz w:val="18"/>
          <w:szCs w:val="21"/>
        </w:rPr>
      </w:pPr>
      <w:r w:rsidRPr="00AA37CB">
        <w:rPr>
          <w:sz w:val="18"/>
        </w:rPr>
        <w:t xml:space="preserve">Figure </w:t>
      </w:r>
      <w:r w:rsidRPr="00AA37CB">
        <w:rPr>
          <w:sz w:val="18"/>
        </w:rPr>
        <w:fldChar w:fldCharType="begin"/>
      </w:r>
      <w:r w:rsidRPr="00AA37CB">
        <w:rPr>
          <w:sz w:val="18"/>
        </w:rPr>
        <w:instrText xml:space="preserve"> SEQ Figure \* ARABIC </w:instrText>
      </w:r>
      <w:r w:rsidRPr="00AA37CB">
        <w:rPr>
          <w:sz w:val="18"/>
        </w:rPr>
        <w:fldChar w:fldCharType="separate"/>
      </w:r>
      <w:r w:rsidRPr="00AA37CB">
        <w:rPr>
          <w:noProof/>
          <w:sz w:val="18"/>
        </w:rPr>
        <w:t>5</w:t>
      </w:r>
      <w:r w:rsidRPr="00AA37CB">
        <w:rPr>
          <w:sz w:val="18"/>
        </w:rPr>
        <w:fldChar w:fldCharType="end"/>
      </w:r>
      <w:r w:rsidR="00860A5B">
        <w:rPr>
          <w:sz w:val="18"/>
        </w:rPr>
        <w:t xml:space="preserve"> The UE capability signalling for a band combination that support uplink switching</w:t>
      </w:r>
    </w:p>
    <w:p w14:paraId="642CA1D5" w14:textId="3D780887" w:rsidR="00C168AA" w:rsidRDefault="009B04DA" w:rsidP="00DB110C">
      <w:pPr>
        <w:snapToGrid w:val="0"/>
        <w:spacing w:before="240" w:after="60"/>
        <w:jc w:val="left"/>
        <w:rPr>
          <w:rFonts w:eastAsiaTheme="minorEastAsia"/>
          <w:sz w:val="20"/>
          <w:szCs w:val="21"/>
        </w:rPr>
      </w:pPr>
      <w:r w:rsidRPr="00AD78B4">
        <w:rPr>
          <w:rFonts w:eastAsiaTheme="minorEastAsia" w:hint="eastAsia"/>
          <w:sz w:val="20"/>
          <w:szCs w:val="21"/>
        </w:rPr>
        <w:t>T</w:t>
      </w:r>
      <w:r w:rsidRPr="00AD78B4">
        <w:rPr>
          <w:rFonts w:eastAsiaTheme="minorEastAsia"/>
          <w:sz w:val="20"/>
          <w:szCs w:val="21"/>
        </w:rPr>
        <w:t>hus, the band combinations support Rel-18 Tx switching refer to existing CA/SUL configuration and it is not required to define new band combination considering there is no new requirement. And it should be specified that Rel-18 Tx switching is UE capability per band combination.</w:t>
      </w:r>
    </w:p>
    <w:p w14:paraId="2B852E71" w14:textId="72613A7D" w:rsidR="008A48D2" w:rsidRDefault="008A48D2" w:rsidP="00DB110C">
      <w:pPr>
        <w:snapToGrid w:val="0"/>
        <w:spacing w:before="240" w:after="60"/>
        <w:jc w:val="left"/>
        <w:rPr>
          <w:rFonts w:eastAsiaTheme="minorEastAsia"/>
          <w:sz w:val="20"/>
          <w:szCs w:val="21"/>
        </w:rPr>
      </w:pPr>
      <w:r>
        <w:rPr>
          <w:rFonts w:eastAsiaTheme="minorEastAsia"/>
          <w:sz w:val="20"/>
          <w:szCs w:val="21"/>
        </w:rPr>
        <w:t xml:space="preserve">In addition, we agree with China Telecom that </w:t>
      </w:r>
    </w:p>
    <w:tbl>
      <w:tblPr>
        <w:tblStyle w:val="aa"/>
        <w:tblW w:w="0" w:type="auto"/>
        <w:tblLook w:val="04A0" w:firstRow="1" w:lastRow="0" w:firstColumn="1" w:lastColumn="0" w:noHBand="0" w:noVBand="1"/>
      </w:tblPr>
      <w:tblGrid>
        <w:gridCol w:w="9628"/>
      </w:tblGrid>
      <w:tr w:rsidR="008A48D2" w14:paraId="68D674EF" w14:textId="77777777" w:rsidTr="008A48D2">
        <w:tc>
          <w:tcPr>
            <w:tcW w:w="9628" w:type="dxa"/>
          </w:tcPr>
          <w:p w14:paraId="0650D81C" w14:textId="77777777" w:rsidR="008A48D2" w:rsidRPr="008A48D2" w:rsidRDefault="008A48D2" w:rsidP="00AA37CB">
            <w:pPr>
              <w:widowControl/>
              <w:snapToGrid w:val="0"/>
              <w:spacing w:line="240" w:lineRule="auto"/>
              <w:jc w:val="left"/>
              <w:rPr>
                <w:rFonts w:eastAsia="等线"/>
                <w:sz w:val="21"/>
                <w:szCs w:val="21"/>
                <w:lang w:eastAsia="zh-CN"/>
              </w:rPr>
            </w:pPr>
            <w:r w:rsidRPr="008A48D2">
              <w:rPr>
                <w:rFonts w:eastAsia="等线" w:hint="eastAsia"/>
                <w:sz w:val="21"/>
                <w:szCs w:val="21"/>
                <w:lang w:eastAsia="zh-CN"/>
              </w:rPr>
              <w:t xml:space="preserve">2-band UL CA requirement shall be applied only for band pairs </w:t>
            </w:r>
            <w:r w:rsidRPr="008A48D2">
              <w:rPr>
                <w:rFonts w:eastAsia="等线"/>
                <w:sz w:val="21"/>
                <w:szCs w:val="21"/>
                <w:lang w:eastAsia="zh-CN"/>
              </w:rPr>
              <w:t>supporting</w:t>
            </w:r>
            <w:r w:rsidRPr="008A48D2">
              <w:rPr>
                <w:rFonts w:eastAsia="等线" w:hint="eastAsia"/>
                <w:sz w:val="21"/>
                <w:szCs w:val="21"/>
                <w:lang w:eastAsia="zh-CN"/>
              </w:rPr>
              <w:t xml:space="preserve"> </w:t>
            </w:r>
            <w:r w:rsidRPr="008A48D2">
              <w:rPr>
                <w:rFonts w:eastAsia="等线" w:hint="eastAsia"/>
                <w:i/>
                <w:sz w:val="21"/>
                <w:szCs w:val="21"/>
                <w:lang w:eastAsia="zh-CN"/>
              </w:rPr>
              <w:t>dualUL</w:t>
            </w:r>
            <w:r w:rsidRPr="008A48D2">
              <w:rPr>
                <w:rFonts w:eastAsia="等线" w:hint="eastAsia"/>
                <w:sz w:val="21"/>
                <w:szCs w:val="21"/>
                <w:lang w:eastAsia="zh-CN"/>
              </w:rPr>
              <w:t xml:space="preserve">, but not for band pairs supporting </w:t>
            </w:r>
            <w:r w:rsidRPr="008A48D2">
              <w:rPr>
                <w:rFonts w:eastAsia="等线" w:hint="eastAsia"/>
                <w:i/>
                <w:sz w:val="21"/>
                <w:szCs w:val="21"/>
                <w:lang w:eastAsia="zh-CN"/>
              </w:rPr>
              <w:t>switchedUL</w:t>
            </w:r>
            <w:r w:rsidRPr="008A48D2">
              <w:rPr>
                <w:rFonts w:eastAsia="等线" w:hint="eastAsia"/>
                <w:sz w:val="21"/>
                <w:szCs w:val="21"/>
                <w:lang w:eastAsia="zh-CN"/>
              </w:rPr>
              <w:t xml:space="preserve">. In the Rel-18 Tx switching CR endorsed </w:t>
            </w:r>
            <w:r w:rsidRPr="008A48D2">
              <w:rPr>
                <w:rFonts w:eastAsia="等线"/>
                <w:sz w:val="21"/>
                <w:szCs w:val="21"/>
                <w:lang w:eastAsia="zh-CN"/>
              </w:rPr>
              <w:t>in the</w:t>
            </w:r>
            <w:r w:rsidRPr="008A48D2">
              <w:rPr>
                <w:rFonts w:eastAsia="等线" w:hint="eastAsia"/>
                <w:sz w:val="21"/>
                <w:szCs w:val="21"/>
                <w:lang w:eastAsia="zh-CN"/>
              </w:rPr>
              <w:t xml:space="preserve"> last meeting, it already says:</w:t>
            </w:r>
          </w:p>
          <w:p w14:paraId="667F5122" w14:textId="77777777" w:rsidR="008A48D2" w:rsidRPr="008A48D2" w:rsidRDefault="008A48D2" w:rsidP="00AA37CB">
            <w:pPr>
              <w:widowControl/>
              <w:snapToGrid w:val="0"/>
              <w:spacing w:before="0" w:line="240" w:lineRule="auto"/>
              <w:jc w:val="left"/>
              <w:rPr>
                <w:i/>
                <w:lang w:eastAsia="zh-CN"/>
              </w:rPr>
            </w:pPr>
            <w:r w:rsidRPr="008A48D2">
              <w:rPr>
                <w:rFonts w:hint="eastAsia"/>
                <w:i/>
                <w:lang w:eastAsia="zh-CN"/>
              </w:rPr>
              <w:t xml:space="preserve">For each uplink band pair, according to </w:t>
            </w:r>
            <w:r w:rsidRPr="008A48D2">
              <w:rPr>
                <w:i/>
                <w:lang w:eastAsia="zh-CN"/>
              </w:rPr>
              <w:t xml:space="preserve">the </w:t>
            </w:r>
            <w:r w:rsidRPr="008A48D2">
              <w:rPr>
                <w:i/>
                <w:lang w:eastAsia="en-US"/>
              </w:rPr>
              <w:t>capability</w:t>
            </w:r>
            <w:r w:rsidRPr="008A48D2">
              <w:rPr>
                <w:i/>
                <w:lang w:eastAsia="zh-CN"/>
              </w:rPr>
              <w:t xml:space="preserve"> </w:t>
            </w:r>
            <w:r w:rsidRPr="008A48D2">
              <w:rPr>
                <w:rFonts w:hint="eastAsia"/>
                <w:i/>
                <w:lang w:eastAsia="zh-CN"/>
              </w:rPr>
              <w:t>[</w:t>
            </w:r>
            <w:r w:rsidRPr="008A48D2">
              <w:rPr>
                <w:i/>
                <w:lang w:eastAsia="en-US"/>
              </w:rPr>
              <w:t>uplinkTxSwitching-OptionSupport</w:t>
            </w:r>
            <w:r w:rsidRPr="008A48D2">
              <w:rPr>
                <w:rFonts w:hint="eastAsia"/>
                <w:i/>
                <w:lang w:eastAsia="zh-CN"/>
              </w:rPr>
              <w:t>],</w:t>
            </w:r>
          </w:p>
          <w:p w14:paraId="3D587093" w14:textId="77777777" w:rsidR="008A48D2" w:rsidRPr="008A48D2" w:rsidRDefault="008A48D2" w:rsidP="00AA37CB">
            <w:pPr>
              <w:widowControl/>
              <w:snapToGrid w:val="0"/>
              <w:spacing w:before="0" w:line="240" w:lineRule="auto"/>
              <w:ind w:left="568" w:hanging="284"/>
              <w:jc w:val="left"/>
              <w:rPr>
                <w:lang w:eastAsia="zh-CN"/>
              </w:rPr>
            </w:pPr>
            <w:r w:rsidRPr="008A48D2">
              <w:rPr>
                <w:lang w:eastAsia="en-US"/>
              </w:rPr>
              <w:t>–</w:t>
            </w:r>
            <w:r w:rsidRPr="008A48D2">
              <w:rPr>
                <w:lang w:eastAsia="en-US"/>
              </w:rPr>
              <w:tab/>
            </w:r>
            <w:r w:rsidRPr="008A48D2">
              <w:rPr>
                <w:rFonts w:hint="eastAsia"/>
                <w:lang w:eastAsia="zh-CN"/>
              </w:rPr>
              <w:t xml:space="preserve">if </w:t>
            </w:r>
            <w:r w:rsidRPr="008A48D2">
              <w:rPr>
                <w:rFonts w:hint="eastAsia"/>
                <w:i/>
                <w:highlight w:val="yellow"/>
                <w:lang w:eastAsia="zh-CN"/>
              </w:rPr>
              <w:t>switchedUL</w:t>
            </w:r>
            <w:r w:rsidRPr="008A48D2">
              <w:rPr>
                <w:rFonts w:hint="eastAsia"/>
                <w:highlight w:val="yellow"/>
                <w:lang w:eastAsia="zh-CN"/>
              </w:rPr>
              <w:t xml:space="preserve"> is supported</w:t>
            </w:r>
            <w:r w:rsidRPr="008A48D2">
              <w:rPr>
                <w:rFonts w:hint="eastAsia"/>
                <w:lang w:eastAsia="zh-CN"/>
              </w:rPr>
              <w:t xml:space="preserve">, uplink </w:t>
            </w:r>
            <w:r w:rsidRPr="008A48D2">
              <w:rPr>
                <w:lang w:eastAsia="zh-CN"/>
              </w:rPr>
              <w:t>transmission</w:t>
            </w:r>
            <w:r w:rsidRPr="008A48D2">
              <w:rPr>
                <w:rFonts w:hint="eastAsia"/>
                <w:lang w:eastAsia="zh-CN"/>
              </w:rPr>
              <w:t xml:space="preserve"> on any one band </w:t>
            </w:r>
            <w:r w:rsidRPr="008A48D2">
              <w:rPr>
                <w:lang w:eastAsia="zh-CN"/>
              </w:rPr>
              <w:t>of</w:t>
            </w:r>
            <w:r w:rsidRPr="008A48D2">
              <w:rPr>
                <w:rFonts w:hint="eastAsia"/>
                <w:lang w:eastAsia="zh-CN"/>
              </w:rPr>
              <w:t xml:space="preserve"> the band pair in the band combination </w:t>
            </w:r>
            <w:r w:rsidRPr="008A48D2">
              <w:rPr>
                <w:lang w:eastAsia="zh-CN"/>
              </w:rPr>
              <w:t xml:space="preserve">shall </w:t>
            </w:r>
            <w:r w:rsidRPr="008A48D2">
              <w:rPr>
                <w:rFonts w:hint="eastAsia"/>
                <w:lang w:eastAsia="zh-CN"/>
              </w:rPr>
              <w:t xml:space="preserve">be supported according to </w:t>
            </w:r>
            <w:r w:rsidRPr="008A48D2">
              <w:rPr>
                <w:lang w:eastAsia="en-US"/>
              </w:rPr>
              <w:t>the scheduling commands</w:t>
            </w:r>
            <w:r w:rsidRPr="008A48D2">
              <w:rPr>
                <w:rFonts w:hint="eastAsia"/>
                <w:lang w:eastAsia="zh-CN"/>
              </w:rPr>
              <w:t xml:space="preserve">, and </w:t>
            </w:r>
            <w:r w:rsidRPr="008A48D2">
              <w:rPr>
                <w:lang w:eastAsia="en-US"/>
              </w:rPr>
              <w:t xml:space="preserve">the </w:t>
            </w:r>
            <w:r w:rsidRPr="008A48D2">
              <w:rPr>
                <w:rFonts w:hint="eastAsia"/>
                <w:lang w:eastAsia="zh-CN"/>
              </w:rPr>
              <w:t xml:space="preserve">corresponding </w:t>
            </w:r>
            <w:r w:rsidRPr="008A48D2">
              <w:rPr>
                <w:rFonts w:hint="eastAsia"/>
                <w:highlight w:val="yellow"/>
                <w:lang w:eastAsia="zh-CN"/>
              </w:rPr>
              <w:t>inter-band CA requirements with one UL band on band X or band Y</w:t>
            </w:r>
            <w:r w:rsidRPr="008A48D2">
              <w:rPr>
                <w:rFonts w:hint="eastAsia"/>
                <w:lang w:eastAsia="zh-CN"/>
              </w:rPr>
              <w:t xml:space="preserve"> </w:t>
            </w:r>
            <w:r w:rsidRPr="008A48D2">
              <w:rPr>
                <w:lang w:eastAsia="zh-CN"/>
              </w:rPr>
              <w:t xml:space="preserve">shall </w:t>
            </w:r>
            <w:r w:rsidRPr="008A48D2">
              <w:rPr>
                <w:rFonts w:hint="eastAsia"/>
                <w:lang w:eastAsia="zh-CN"/>
              </w:rPr>
              <w:t xml:space="preserve">be </w:t>
            </w:r>
            <w:r w:rsidRPr="008A48D2">
              <w:rPr>
                <w:lang w:eastAsia="zh-CN"/>
              </w:rPr>
              <w:t>satisfied</w:t>
            </w:r>
            <w:r w:rsidRPr="008A48D2">
              <w:rPr>
                <w:rFonts w:hint="eastAsia"/>
                <w:lang w:eastAsia="zh-CN"/>
              </w:rPr>
              <w:t>;</w:t>
            </w:r>
          </w:p>
          <w:p w14:paraId="5C6D5158" w14:textId="28DD6DFB" w:rsidR="008A48D2" w:rsidRPr="00AA37CB" w:rsidRDefault="008A48D2" w:rsidP="00AA37CB">
            <w:pPr>
              <w:widowControl/>
              <w:snapToGrid w:val="0"/>
              <w:spacing w:before="0" w:after="120" w:line="240" w:lineRule="auto"/>
              <w:ind w:left="568" w:hanging="284"/>
              <w:jc w:val="left"/>
              <w:rPr>
                <w:lang w:eastAsia="zh-CN"/>
              </w:rPr>
            </w:pPr>
            <w:r w:rsidRPr="008A48D2">
              <w:rPr>
                <w:lang w:eastAsia="en-US"/>
              </w:rPr>
              <w:t>–</w:t>
            </w:r>
            <w:r w:rsidRPr="008A48D2">
              <w:rPr>
                <w:lang w:eastAsia="en-US"/>
              </w:rPr>
              <w:tab/>
            </w:r>
            <w:r w:rsidRPr="008A48D2">
              <w:rPr>
                <w:rFonts w:hint="eastAsia"/>
                <w:lang w:eastAsia="zh-CN"/>
              </w:rPr>
              <w:t xml:space="preserve">if </w:t>
            </w:r>
            <w:r w:rsidRPr="008A48D2">
              <w:rPr>
                <w:rFonts w:hint="eastAsia"/>
                <w:i/>
                <w:highlight w:val="yellow"/>
                <w:lang w:eastAsia="zh-CN"/>
              </w:rPr>
              <w:t>dualUL</w:t>
            </w:r>
            <w:r w:rsidRPr="008A48D2">
              <w:rPr>
                <w:rFonts w:hint="eastAsia"/>
                <w:highlight w:val="yellow"/>
                <w:lang w:eastAsia="zh-CN"/>
              </w:rPr>
              <w:t xml:space="preserve"> is supported</w:t>
            </w:r>
            <w:r w:rsidRPr="008A48D2">
              <w:rPr>
                <w:rFonts w:hint="eastAsia"/>
                <w:lang w:eastAsia="zh-CN"/>
              </w:rPr>
              <w:t xml:space="preserve">, </w:t>
            </w:r>
            <w:r w:rsidRPr="008A48D2">
              <w:rPr>
                <w:lang w:eastAsia="en-US"/>
              </w:rPr>
              <w:t>simultaneous</w:t>
            </w:r>
            <w:r w:rsidRPr="008A48D2">
              <w:rPr>
                <w:lang w:eastAsia="zh-CN"/>
              </w:rPr>
              <w:t xml:space="preserve"> </w:t>
            </w:r>
            <w:r w:rsidRPr="008A48D2">
              <w:rPr>
                <w:rFonts w:hint="eastAsia"/>
                <w:lang w:eastAsia="zh-CN"/>
              </w:rPr>
              <w:t xml:space="preserve">uplink </w:t>
            </w:r>
            <w:r w:rsidRPr="008A48D2">
              <w:rPr>
                <w:lang w:eastAsia="zh-CN"/>
              </w:rPr>
              <w:t>transmission</w:t>
            </w:r>
            <w:r w:rsidRPr="008A48D2">
              <w:rPr>
                <w:rFonts w:hint="eastAsia"/>
                <w:lang w:eastAsia="zh-CN"/>
              </w:rPr>
              <w:t xml:space="preserve"> on</w:t>
            </w:r>
            <w:r w:rsidRPr="008A48D2">
              <w:rPr>
                <w:lang w:eastAsia="zh-CN"/>
              </w:rPr>
              <w:t xml:space="preserve"> the </w:t>
            </w:r>
            <w:r w:rsidRPr="008A48D2">
              <w:rPr>
                <w:rFonts w:hint="eastAsia"/>
                <w:lang w:eastAsia="zh-CN"/>
              </w:rPr>
              <w:t xml:space="preserve">two </w:t>
            </w:r>
            <w:r w:rsidRPr="008A48D2">
              <w:rPr>
                <w:rFonts w:hint="eastAsia"/>
                <w:lang w:val="en-US" w:eastAsia="zh-CN"/>
              </w:rPr>
              <w:t xml:space="preserve">NR UL </w:t>
            </w:r>
            <w:r w:rsidRPr="008A48D2">
              <w:rPr>
                <w:rFonts w:hint="eastAsia"/>
                <w:lang w:eastAsia="zh-CN"/>
              </w:rPr>
              <w:t>bands</w:t>
            </w:r>
            <w:r w:rsidRPr="008A48D2">
              <w:rPr>
                <w:lang w:eastAsia="zh-CN"/>
              </w:rPr>
              <w:t xml:space="preserve"> </w:t>
            </w:r>
            <w:r w:rsidRPr="008A48D2">
              <w:rPr>
                <w:rFonts w:hint="eastAsia"/>
                <w:lang w:eastAsia="zh-CN"/>
              </w:rPr>
              <w:t>from the band pair</w:t>
            </w:r>
            <w:r w:rsidRPr="008A48D2">
              <w:rPr>
                <w:lang w:eastAsia="zh-CN"/>
              </w:rPr>
              <w:t xml:space="preserve"> for which </w:t>
            </w:r>
            <w:r w:rsidRPr="008A48D2">
              <w:rPr>
                <w:i/>
                <w:iCs/>
                <w:lang w:eastAsia="zh-CN"/>
              </w:rPr>
              <w:t>dualUL</w:t>
            </w:r>
            <w:r w:rsidRPr="008A48D2">
              <w:rPr>
                <w:lang w:eastAsia="zh-CN"/>
              </w:rPr>
              <w:t xml:space="preserve"> </w:t>
            </w:r>
            <w:r w:rsidRPr="008A48D2">
              <w:rPr>
                <w:rFonts w:hint="eastAsia"/>
                <w:lang w:eastAsia="zh-CN"/>
              </w:rPr>
              <w:t>is</w:t>
            </w:r>
            <w:r w:rsidRPr="008A48D2">
              <w:rPr>
                <w:lang w:eastAsia="zh-CN"/>
              </w:rPr>
              <w:t xml:space="preserve"> declared</w:t>
            </w:r>
            <w:r w:rsidRPr="008A48D2">
              <w:rPr>
                <w:rFonts w:hint="eastAsia"/>
                <w:lang w:eastAsia="zh-CN"/>
              </w:rPr>
              <w:t xml:space="preserve"> in the band combination </w:t>
            </w:r>
            <w:r w:rsidRPr="008A48D2">
              <w:rPr>
                <w:lang w:eastAsia="zh-CN"/>
              </w:rPr>
              <w:t xml:space="preserve">shall </w:t>
            </w:r>
            <w:r w:rsidRPr="008A48D2">
              <w:rPr>
                <w:rFonts w:hint="eastAsia"/>
                <w:lang w:eastAsia="zh-CN"/>
              </w:rPr>
              <w:t xml:space="preserve">be supported according to </w:t>
            </w:r>
            <w:r w:rsidRPr="008A48D2">
              <w:rPr>
                <w:lang w:eastAsia="en-US"/>
              </w:rPr>
              <w:t>the scheduling commands</w:t>
            </w:r>
            <w:r w:rsidRPr="008A48D2">
              <w:rPr>
                <w:rFonts w:hint="eastAsia"/>
                <w:lang w:eastAsia="zh-CN"/>
              </w:rPr>
              <w:t xml:space="preserve">, and </w:t>
            </w:r>
            <w:r w:rsidRPr="008A48D2">
              <w:rPr>
                <w:lang w:eastAsia="en-US"/>
              </w:rPr>
              <w:t xml:space="preserve">the </w:t>
            </w:r>
            <w:r w:rsidRPr="008A48D2">
              <w:rPr>
                <w:rFonts w:hint="eastAsia"/>
                <w:lang w:eastAsia="zh-CN"/>
              </w:rPr>
              <w:t xml:space="preserve">corresponding </w:t>
            </w:r>
            <w:r w:rsidRPr="008A48D2">
              <w:rPr>
                <w:rFonts w:hint="eastAsia"/>
                <w:highlight w:val="yellow"/>
                <w:lang w:eastAsia="zh-CN"/>
              </w:rPr>
              <w:t>inter-band CA requirements with two uplink bands</w:t>
            </w:r>
            <w:r w:rsidRPr="008A48D2">
              <w:rPr>
                <w:rFonts w:hint="eastAsia"/>
                <w:lang w:eastAsia="zh-CN"/>
              </w:rPr>
              <w:t xml:space="preserve"> </w:t>
            </w:r>
            <w:r w:rsidRPr="008A48D2">
              <w:rPr>
                <w:lang w:eastAsia="zh-CN"/>
              </w:rPr>
              <w:t xml:space="preserve">shall </w:t>
            </w:r>
            <w:r w:rsidRPr="008A48D2">
              <w:rPr>
                <w:rFonts w:hint="eastAsia"/>
                <w:lang w:eastAsia="zh-CN"/>
              </w:rPr>
              <w:t xml:space="preserve">be </w:t>
            </w:r>
            <w:r w:rsidRPr="008A48D2">
              <w:rPr>
                <w:lang w:eastAsia="zh-CN"/>
              </w:rPr>
              <w:t>satisfied</w:t>
            </w:r>
            <w:r w:rsidRPr="008A48D2">
              <w:rPr>
                <w:rFonts w:hint="eastAsia"/>
                <w:lang w:eastAsia="zh-CN"/>
              </w:rPr>
              <w:t>.</w:t>
            </w:r>
          </w:p>
        </w:tc>
      </w:tr>
    </w:tbl>
    <w:p w14:paraId="6EE761D3" w14:textId="77777777" w:rsidR="008A48D2" w:rsidRPr="00AD78B4" w:rsidRDefault="008A48D2" w:rsidP="00DB110C">
      <w:pPr>
        <w:snapToGrid w:val="0"/>
        <w:spacing w:before="240" w:after="60"/>
        <w:jc w:val="left"/>
        <w:rPr>
          <w:rFonts w:eastAsiaTheme="minorEastAsia"/>
          <w:sz w:val="20"/>
          <w:szCs w:val="21"/>
        </w:rPr>
      </w:pPr>
    </w:p>
    <w:p w14:paraId="40EBE4E8" w14:textId="334BA141" w:rsidR="009B04DA" w:rsidRDefault="005070E5" w:rsidP="001358FA">
      <w:pPr>
        <w:snapToGrid w:val="0"/>
        <w:spacing w:before="120"/>
        <w:jc w:val="left"/>
        <w:rPr>
          <w:b/>
          <w:i/>
          <w:sz w:val="20"/>
        </w:rPr>
      </w:pPr>
      <w:bookmarkStart w:id="10" w:name="_Ref134541170"/>
      <w:r w:rsidRPr="005070E5">
        <w:rPr>
          <w:b/>
          <w:i/>
          <w:sz w:val="20"/>
        </w:rPr>
        <w:t xml:space="preserve">Proposal </w:t>
      </w:r>
      <w:r w:rsidRPr="005070E5">
        <w:rPr>
          <w:b/>
          <w:i/>
          <w:sz w:val="20"/>
        </w:rPr>
        <w:fldChar w:fldCharType="begin"/>
      </w:r>
      <w:r w:rsidRPr="005070E5">
        <w:rPr>
          <w:b/>
          <w:i/>
          <w:sz w:val="20"/>
        </w:rPr>
        <w:instrText xml:space="preserve"> SEQ Proposal \* ARABIC </w:instrText>
      </w:r>
      <w:r w:rsidRPr="005070E5">
        <w:rPr>
          <w:b/>
          <w:i/>
          <w:sz w:val="20"/>
        </w:rPr>
        <w:fldChar w:fldCharType="separate"/>
      </w:r>
      <w:r>
        <w:rPr>
          <w:b/>
          <w:i/>
          <w:noProof/>
          <w:sz w:val="20"/>
        </w:rPr>
        <w:t>6</w:t>
      </w:r>
      <w:r w:rsidRPr="005070E5">
        <w:rPr>
          <w:b/>
          <w:i/>
          <w:sz w:val="20"/>
        </w:rPr>
        <w:fldChar w:fldCharType="end"/>
      </w:r>
      <w:r w:rsidRPr="005070E5">
        <w:rPr>
          <w:b/>
          <w:i/>
          <w:sz w:val="20"/>
        </w:rPr>
        <w:t xml:space="preserve">: </w:t>
      </w:r>
      <w:r>
        <w:rPr>
          <w:b/>
          <w:i/>
          <w:sz w:val="20"/>
        </w:rPr>
        <w:t xml:space="preserve">No need to </w:t>
      </w:r>
      <w:r w:rsidRPr="005070E5">
        <w:rPr>
          <w:b/>
          <w:i/>
          <w:sz w:val="20"/>
        </w:rPr>
        <w:t>introduc</w:t>
      </w:r>
      <w:r>
        <w:rPr>
          <w:b/>
          <w:i/>
          <w:sz w:val="20"/>
        </w:rPr>
        <w:t>e</w:t>
      </w:r>
      <w:r w:rsidRPr="005070E5">
        <w:rPr>
          <w:b/>
          <w:i/>
          <w:sz w:val="20"/>
        </w:rPr>
        <w:t xml:space="preserve"> the band configurations for </w:t>
      </w:r>
      <w:r>
        <w:rPr>
          <w:b/>
          <w:i/>
          <w:sz w:val="20"/>
        </w:rPr>
        <w:t>Rel-18 Tx.</w:t>
      </w:r>
      <w:bookmarkEnd w:id="10"/>
    </w:p>
    <w:p w14:paraId="70315663" w14:textId="7565FBC0" w:rsidR="001358FA" w:rsidRPr="001358FA" w:rsidRDefault="001358FA" w:rsidP="001358FA">
      <w:pPr>
        <w:pStyle w:val="a7"/>
        <w:numPr>
          <w:ilvl w:val="0"/>
          <w:numId w:val="23"/>
        </w:numPr>
        <w:snapToGrid w:val="0"/>
        <w:ind w:firstLineChars="0"/>
        <w:jc w:val="left"/>
        <w:rPr>
          <w:b/>
          <w:i/>
          <w:sz w:val="20"/>
          <w:szCs w:val="21"/>
        </w:rPr>
      </w:pPr>
      <w:r w:rsidRPr="001358FA">
        <w:rPr>
          <w:b/>
          <w:i/>
          <w:sz w:val="20"/>
          <w:szCs w:val="21"/>
        </w:rPr>
        <w:t>Band combinations along with UL configuration are up to the operators’ demand.</w:t>
      </w:r>
      <w:r>
        <w:rPr>
          <w:b/>
          <w:i/>
          <w:sz w:val="20"/>
          <w:szCs w:val="21"/>
        </w:rPr>
        <w:t xml:space="preserve"> And the </w:t>
      </w:r>
      <w:r w:rsidRPr="001358FA">
        <w:rPr>
          <w:b/>
          <w:i/>
          <w:sz w:val="20"/>
          <w:szCs w:val="21"/>
        </w:rPr>
        <w:t xml:space="preserve">existing CA/SUL </w:t>
      </w:r>
      <w:r>
        <w:rPr>
          <w:b/>
          <w:i/>
          <w:sz w:val="20"/>
          <w:szCs w:val="21"/>
        </w:rPr>
        <w:t>band combinations can be reused for Rel-18 Tx switching.</w:t>
      </w:r>
    </w:p>
    <w:p w14:paraId="777606E3" w14:textId="29FBF842" w:rsidR="005070E5" w:rsidRDefault="001358FA" w:rsidP="00DF61A6">
      <w:pPr>
        <w:pStyle w:val="a7"/>
        <w:numPr>
          <w:ilvl w:val="0"/>
          <w:numId w:val="23"/>
        </w:numPr>
        <w:snapToGrid w:val="0"/>
        <w:ind w:firstLineChars="0"/>
        <w:jc w:val="left"/>
        <w:rPr>
          <w:b/>
          <w:i/>
          <w:sz w:val="20"/>
          <w:szCs w:val="21"/>
        </w:rPr>
      </w:pPr>
      <w:r w:rsidRPr="001358FA">
        <w:rPr>
          <w:b/>
          <w:i/>
          <w:sz w:val="20"/>
          <w:szCs w:val="21"/>
        </w:rPr>
        <w:t xml:space="preserve">The network would schedule the switching between band pairs </w:t>
      </w:r>
      <w:r w:rsidR="00DF61A6">
        <w:rPr>
          <w:b/>
          <w:i/>
          <w:sz w:val="20"/>
          <w:szCs w:val="21"/>
        </w:rPr>
        <w:t xml:space="preserve">for a band combination </w:t>
      </w:r>
      <w:r w:rsidRPr="001358FA">
        <w:rPr>
          <w:b/>
          <w:i/>
          <w:sz w:val="20"/>
          <w:szCs w:val="21"/>
        </w:rPr>
        <w:t>accor</w:t>
      </w:r>
      <w:r>
        <w:rPr>
          <w:b/>
          <w:i/>
          <w:sz w:val="20"/>
          <w:szCs w:val="21"/>
        </w:rPr>
        <w:t>ding to the reported band pairs and</w:t>
      </w:r>
      <w:r w:rsidRPr="001358FA">
        <w:rPr>
          <w:b/>
          <w:i/>
          <w:sz w:val="20"/>
          <w:szCs w:val="21"/>
        </w:rPr>
        <w:t xml:space="preserve"> UL configurations</w:t>
      </w:r>
      <w:r>
        <w:rPr>
          <w:b/>
          <w:i/>
          <w:sz w:val="20"/>
          <w:szCs w:val="21"/>
        </w:rPr>
        <w:t>.</w:t>
      </w:r>
      <w:r w:rsidR="00DF61A6">
        <w:rPr>
          <w:b/>
          <w:i/>
          <w:sz w:val="20"/>
          <w:szCs w:val="21"/>
        </w:rPr>
        <w:t xml:space="preserve"> And the network can avoid </w:t>
      </w:r>
      <w:r w:rsidR="00DF61A6" w:rsidRPr="00DF61A6">
        <w:rPr>
          <w:b/>
          <w:i/>
          <w:sz w:val="20"/>
          <w:szCs w:val="21"/>
        </w:rPr>
        <w:t>scheduling Tx switching</w:t>
      </w:r>
      <w:r w:rsidR="00DF61A6">
        <w:rPr>
          <w:b/>
          <w:i/>
          <w:sz w:val="20"/>
          <w:szCs w:val="21"/>
        </w:rPr>
        <w:t xml:space="preserve"> that result in concurrent transmission for two bands without UL CA configuration.</w:t>
      </w:r>
    </w:p>
    <w:p w14:paraId="70B72858" w14:textId="43A4B4AC" w:rsidR="001358FA" w:rsidRPr="001358FA" w:rsidRDefault="001358FA" w:rsidP="001358FA">
      <w:pPr>
        <w:pStyle w:val="a7"/>
        <w:numPr>
          <w:ilvl w:val="0"/>
          <w:numId w:val="23"/>
        </w:numPr>
        <w:snapToGrid w:val="0"/>
        <w:ind w:firstLineChars="0"/>
        <w:jc w:val="left"/>
        <w:rPr>
          <w:b/>
          <w:i/>
          <w:sz w:val="20"/>
          <w:szCs w:val="21"/>
        </w:rPr>
      </w:pPr>
      <w:r>
        <w:rPr>
          <w:b/>
          <w:i/>
          <w:sz w:val="20"/>
          <w:szCs w:val="21"/>
        </w:rPr>
        <w:t xml:space="preserve">Rel-18 should introduce </w:t>
      </w:r>
      <w:r w:rsidRPr="001358FA">
        <w:rPr>
          <w:b/>
          <w:i/>
          <w:sz w:val="20"/>
          <w:szCs w:val="21"/>
        </w:rPr>
        <w:t>Tx switching capability per band combination</w:t>
      </w:r>
      <w:r w:rsidR="00D73EAA">
        <w:rPr>
          <w:b/>
          <w:i/>
          <w:sz w:val="20"/>
          <w:szCs w:val="21"/>
        </w:rPr>
        <w:t>.</w:t>
      </w:r>
    </w:p>
    <w:p w14:paraId="5EEDF6E1" w14:textId="77777777" w:rsidR="009C70D0" w:rsidRDefault="009C70D0" w:rsidP="00DB110C">
      <w:pPr>
        <w:snapToGrid w:val="0"/>
        <w:spacing w:before="240" w:after="60"/>
        <w:jc w:val="left"/>
        <w:rPr>
          <w:szCs w:val="21"/>
        </w:rPr>
      </w:pPr>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33DA0E4A" w:rsidR="000C74C9" w:rsidRDefault="00C33ADE" w:rsidP="002D6C0A">
      <w:pPr>
        <w:snapToGrid w:val="0"/>
        <w:spacing w:after="60"/>
        <w:rPr>
          <w:sz w:val="22"/>
          <w:szCs w:val="20"/>
        </w:rPr>
      </w:pPr>
      <w:r>
        <w:rPr>
          <w:kern w:val="0"/>
          <w:sz w:val="22"/>
          <w:szCs w:val="20"/>
          <w:lang w:val="en-GB" w:eastAsia="ja-JP"/>
        </w:rPr>
        <w:t xml:space="preserve">This contribution presents </w:t>
      </w:r>
      <w:r w:rsidR="00FA723F" w:rsidRPr="00C33ADE">
        <w:rPr>
          <w:sz w:val="22"/>
          <w:szCs w:val="20"/>
        </w:rPr>
        <w:t xml:space="preserve">the </w:t>
      </w:r>
      <w:r w:rsidR="000C74C9" w:rsidRPr="00C33ADE">
        <w:rPr>
          <w:sz w:val="22"/>
          <w:szCs w:val="20"/>
        </w:rPr>
        <w:t xml:space="preserve">following </w:t>
      </w:r>
      <w:r w:rsidR="00133A12">
        <w:rPr>
          <w:sz w:val="22"/>
          <w:szCs w:val="20"/>
        </w:rPr>
        <w:t xml:space="preserve">observations and </w:t>
      </w:r>
      <w:r w:rsidR="000C74C9" w:rsidRPr="00C33ADE">
        <w:rPr>
          <w:sz w:val="22"/>
          <w:szCs w:val="20"/>
        </w:rPr>
        <w:t>proposals:</w:t>
      </w:r>
    </w:p>
    <w:p w14:paraId="79D09252" w14:textId="72F3B200" w:rsidR="00B7168D" w:rsidRPr="00B7168D" w:rsidRDefault="00B7168D" w:rsidP="00B7168D">
      <w:pPr>
        <w:snapToGrid w:val="0"/>
        <w:rPr>
          <w:b/>
          <w:sz w:val="22"/>
          <w:szCs w:val="20"/>
        </w:rPr>
      </w:pPr>
      <w:r w:rsidRPr="00B7168D">
        <w:rPr>
          <w:b/>
          <w:sz w:val="22"/>
          <w:szCs w:val="20"/>
        </w:rPr>
        <w:fldChar w:fldCharType="begin"/>
      </w:r>
      <w:r w:rsidRPr="00B7168D">
        <w:rPr>
          <w:b/>
          <w:sz w:val="22"/>
          <w:szCs w:val="20"/>
        </w:rPr>
        <w:instrText xml:space="preserve"> REF _Ref134524457 \h  \* MERGEFORMAT </w:instrText>
      </w:r>
      <w:r w:rsidRPr="00B7168D">
        <w:rPr>
          <w:b/>
          <w:sz w:val="22"/>
          <w:szCs w:val="20"/>
        </w:rPr>
      </w:r>
      <w:r w:rsidRPr="00B7168D">
        <w:rPr>
          <w:b/>
          <w:sz w:val="22"/>
          <w:szCs w:val="20"/>
        </w:rPr>
        <w:fldChar w:fldCharType="separate"/>
      </w:r>
      <w:r w:rsidRPr="00B7168D">
        <w:rPr>
          <w:b/>
          <w:i/>
        </w:rPr>
        <w:t xml:space="preserve">Proposal </w:t>
      </w:r>
      <w:r w:rsidRPr="00B7168D">
        <w:rPr>
          <w:b/>
          <w:i/>
          <w:noProof/>
        </w:rPr>
        <w:t>1</w:t>
      </w:r>
      <w:r w:rsidRPr="00B7168D">
        <w:rPr>
          <w:b/>
          <w:i/>
        </w:rPr>
        <w:t>: Adding new values to the agreed switching period set is not expected.</w:t>
      </w:r>
      <w:r w:rsidRPr="00B7168D">
        <w:rPr>
          <w:b/>
          <w:sz w:val="22"/>
          <w:szCs w:val="20"/>
        </w:rPr>
        <w:fldChar w:fldCharType="end"/>
      </w:r>
    </w:p>
    <w:p w14:paraId="7053A394" w14:textId="77777777" w:rsidR="00B7168D" w:rsidRPr="00B7168D" w:rsidRDefault="00B7168D" w:rsidP="00B7168D">
      <w:pPr>
        <w:pStyle w:val="a7"/>
        <w:numPr>
          <w:ilvl w:val="0"/>
          <w:numId w:val="16"/>
        </w:numPr>
        <w:snapToGrid w:val="0"/>
        <w:ind w:left="714" w:firstLineChars="0" w:hanging="357"/>
        <w:rPr>
          <w:b/>
          <w:i/>
          <w:sz w:val="20"/>
          <w:lang w:val="en-GB" w:eastAsia="en-US"/>
        </w:rPr>
      </w:pPr>
      <w:r w:rsidRPr="00B7168D">
        <w:rPr>
          <w:b/>
          <w:i/>
          <w:sz w:val="20"/>
          <w:lang w:val="en-GB" w:eastAsia="en-US"/>
        </w:rPr>
        <w:t>Rel-18 Tx switching can work well based on the previous agreement without error.</w:t>
      </w:r>
    </w:p>
    <w:p w14:paraId="53B768A3" w14:textId="77777777" w:rsidR="00B7168D" w:rsidRPr="00B7168D" w:rsidRDefault="00B7168D" w:rsidP="00B7168D">
      <w:pPr>
        <w:pStyle w:val="a7"/>
        <w:numPr>
          <w:ilvl w:val="0"/>
          <w:numId w:val="16"/>
        </w:numPr>
        <w:snapToGrid w:val="0"/>
        <w:ind w:left="714" w:firstLineChars="0" w:hanging="357"/>
        <w:rPr>
          <w:b/>
          <w:i/>
          <w:sz w:val="20"/>
          <w:lang w:val="en-GB" w:eastAsia="en-US"/>
        </w:rPr>
      </w:pPr>
      <w:r w:rsidRPr="00B7168D">
        <w:rPr>
          <w:b/>
          <w:i/>
          <w:sz w:val="20"/>
          <w:lang w:val="en-GB" w:eastAsia="en-US"/>
        </w:rPr>
        <w:lastRenderedPageBreak/>
        <w:t xml:space="preserve">Adding new values would increase the complexity from the perspective of network.  </w:t>
      </w:r>
    </w:p>
    <w:p w14:paraId="4B374A7D" w14:textId="0A009035" w:rsidR="00B7168D" w:rsidRPr="00B7168D" w:rsidRDefault="00B7168D" w:rsidP="00AA37CB">
      <w:pPr>
        <w:snapToGrid w:val="0"/>
        <w:spacing w:before="120"/>
        <w:rPr>
          <w:b/>
          <w:sz w:val="22"/>
          <w:szCs w:val="20"/>
        </w:rPr>
      </w:pPr>
      <w:r w:rsidRPr="00B7168D">
        <w:rPr>
          <w:b/>
          <w:sz w:val="22"/>
          <w:szCs w:val="20"/>
        </w:rPr>
        <w:fldChar w:fldCharType="begin"/>
      </w:r>
      <w:r w:rsidRPr="00B7168D">
        <w:rPr>
          <w:b/>
          <w:sz w:val="22"/>
          <w:szCs w:val="20"/>
        </w:rPr>
        <w:instrText xml:space="preserve"> REF _Ref134524472 \h  \* MERGEFORMAT </w:instrText>
      </w:r>
      <w:r w:rsidRPr="00B7168D">
        <w:rPr>
          <w:b/>
          <w:sz w:val="22"/>
          <w:szCs w:val="20"/>
        </w:rPr>
      </w:r>
      <w:r w:rsidRPr="00B7168D">
        <w:rPr>
          <w:b/>
          <w:sz w:val="22"/>
          <w:szCs w:val="20"/>
        </w:rPr>
        <w:fldChar w:fldCharType="separate"/>
      </w:r>
      <w:r w:rsidRPr="00B7168D">
        <w:rPr>
          <w:b/>
          <w:i/>
        </w:rPr>
        <w:t xml:space="preserve">Proposal </w:t>
      </w:r>
      <w:r w:rsidRPr="00B7168D">
        <w:rPr>
          <w:b/>
          <w:i/>
          <w:noProof/>
        </w:rPr>
        <w:t>2</w:t>
      </w:r>
      <w:r w:rsidRPr="00B7168D">
        <w:rPr>
          <w:b/>
          <w:i/>
        </w:rPr>
        <w:t>: Sum of two switching periods is not expected.</w:t>
      </w:r>
      <w:r w:rsidRPr="00B7168D">
        <w:rPr>
          <w:b/>
          <w:sz w:val="22"/>
          <w:szCs w:val="20"/>
        </w:rPr>
        <w:fldChar w:fldCharType="end"/>
      </w:r>
    </w:p>
    <w:p w14:paraId="76FF32BD" w14:textId="77777777" w:rsidR="00B7168D" w:rsidRPr="00B7168D" w:rsidRDefault="00B7168D" w:rsidP="00B7168D">
      <w:pPr>
        <w:pStyle w:val="a7"/>
        <w:numPr>
          <w:ilvl w:val="0"/>
          <w:numId w:val="21"/>
        </w:numPr>
        <w:snapToGrid w:val="0"/>
        <w:ind w:left="714" w:firstLineChars="0" w:hanging="357"/>
        <w:rPr>
          <w:b/>
          <w:i/>
          <w:sz w:val="20"/>
          <w:lang w:val="en-GB" w:eastAsia="en-US"/>
        </w:rPr>
      </w:pPr>
      <w:r w:rsidRPr="00B7168D">
        <w:rPr>
          <w:b/>
          <w:i/>
          <w:sz w:val="20"/>
          <w:lang w:val="en-GB" w:eastAsia="en-US"/>
        </w:rPr>
        <w:t>The illustrated time mask on summing of two switching periods has been precluded in the last meeting since it violate the RAN1 agreement.</w:t>
      </w:r>
    </w:p>
    <w:p w14:paraId="374A8568" w14:textId="77777777" w:rsidR="00B7168D" w:rsidRPr="00B7168D" w:rsidRDefault="00B7168D" w:rsidP="00B7168D">
      <w:pPr>
        <w:pStyle w:val="a7"/>
        <w:numPr>
          <w:ilvl w:val="0"/>
          <w:numId w:val="21"/>
        </w:numPr>
        <w:snapToGrid w:val="0"/>
        <w:ind w:left="714" w:firstLineChars="0" w:hanging="357"/>
        <w:rPr>
          <w:b/>
          <w:i/>
          <w:sz w:val="20"/>
          <w:lang w:val="en-GB" w:eastAsia="en-US"/>
        </w:rPr>
      </w:pPr>
      <w:r w:rsidRPr="00B7168D">
        <w:rPr>
          <w:b/>
          <w:i/>
          <w:sz w:val="20"/>
          <w:lang w:val="en-GB" w:eastAsia="en-US"/>
        </w:rPr>
        <w:t>According to RAN1’s evaluation, too long switching period would results in worse performance for Tx switching than semi-static UL CA or single uplink.</w:t>
      </w:r>
    </w:p>
    <w:p w14:paraId="5F3E603F" w14:textId="30BED109" w:rsidR="00B7168D" w:rsidRPr="00B7168D" w:rsidRDefault="00B7168D" w:rsidP="00B7168D">
      <w:pPr>
        <w:pStyle w:val="a7"/>
        <w:numPr>
          <w:ilvl w:val="0"/>
          <w:numId w:val="21"/>
        </w:numPr>
        <w:snapToGrid w:val="0"/>
        <w:ind w:left="714" w:firstLineChars="0" w:hanging="357"/>
        <w:rPr>
          <w:b/>
          <w:i/>
          <w:sz w:val="20"/>
          <w:lang w:val="en-GB" w:eastAsia="en-US"/>
        </w:rPr>
      </w:pPr>
      <w:r w:rsidRPr="00B7168D">
        <w:rPr>
          <w:b/>
          <w:i/>
          <w:sz w:val="20"/>
          <w:lang w:val="en-GB" w:eastAsia="en-US"/>
        </w:rPr>
        <w:t xml:space="preserve">The worse optional capability results from the sum of switching periods should not be introduced considering optional capability is equivalent to advanced capability from RAN2’s logic.  </w:t>
      </w:r>
    </w:p>
    <w:p w14:paraId="3E0E8906" w14:textId="52A8EB70" w:rsidR="00B7168D" w:rsidRDefault="00B7168D" w:rsidP="00B7168D">
      <w:pPr>
        <w:snapToGrid w:val="0"/>
        <w:spacing w:before="120" w:after="60"/>
        <w:rPr>
          <w:b/>
          <w:sz w:val="22"/>
          <w:szCs w:val="20"/>
        </w:rPr>
      </w:pPr>
      <w:r w:rsidRPr="00B7168D">
        <w:rPr>
          <w:b/>
          <w:sz w:val="22"/>
          <w:szCs w:val="20"/>
        </w:rPr>
        <w:fldChar w:fldCharType="begin"/>
      </w:r>
      <w:r w:rsidRPr="00B7168D">
        <w:rPr>
          <w:b/>
          <w:sz w:val="22"/>
          <w:szCs w:val="20"/>
        </w:rPr>
        <w:instrText xml:space="preserve"> REF _Ref134524478 \h  \* MERGEFORMAT </w:instrText>
      </w:r>
      <w:r w:rsidRPr="00B7168D">
        <w:rPr>
          <w:b/>
          <w:sz w:val="22"/>
          <w:szCs w:val="20"/>
        </w:rPr>
      </w:r>
      <w:r w:rsidRPr="00B7168D">
        <w:rPr>
          <w:b/>
          <w:sz w:val="22"/>
          <w:szCs w:val="20"/>
        </w:rPr>
        <w:fldChar w:fldCharType="separate"/>
      </w:r>
      <w:r w:rsidRPr="00B7168D">
        <w:rPr>
          <w:b/>
          <w:i/>
          <w:sz w:val="20"/>
        </w:rPr>
        <w:t xml:space="preserve">Proposal </w:t>
      </w:r>
      <w:r w:rsidRPr="00B7168D">
        <w:rPr>
          <w:b/>
          <w:i/>
          <w:noProof/>
          <w:sz w:val="20"/>
        </w:rPr>
        <w:t>3</w:t>
      </w:r>
      <w:r w:rsidRPr="00B7168D">
        <w:rPr>
          <w:b/>
          <w:i/>
          <w:sz w:val="20"/>
        </w:rPr>
        <w:t>: The UEs that support barely switching sequentially for two band pairs, should either complete switching during a single determined switching gap as agreed in RAN1, or relinquish supporting Rel-18 Tx switching and fallback to Rel-16/17.</w:t>
      </w:r>
      <w:r w:rsidRPr="00B7168D">
        <w:rPr>
          <w:b/>
          <w:sz w:val="22"/>
          <w:szCs w:val="20"/>
        </w:rPr>
        <w:fldChar w:fldCharType="end"/>
      </w:r>
    </w:p>
    <w:p w14:paraId="00F8DD25" w14:textId="74CECEE2" w:rsidR="00067484" w:rsidRPr="008023F2" w:rsidRDefault="00067484" w:rsidP="00B7168D">
      <w:pPr>
        <w:snapToGrid w:val="0"/>
        <w:spacing w:before="120" w:after="60"/>
        <w:rPr>
          <w:b/>
          <w:sz w:val="22"/>
          <w:szCs w:val="20"/>
        </w:rPr>
      </w:pPr>
      <w:r w:rsidRPr="008023F2">
        <w:rPr>
          <w:b/>
          <w:sz w:val="22"/>
          <w:szCs w:val="20"/>
        </w:rPr>
        <w:fldChar w:fldCharType="begin"/>
      </w:r>
      <w:r w:rsidRPr="00067484">
        <w:rPr>
          <w:b/>
          <w:sz w:val="22"/>
          <w:szCs w:val="20"/>
        </w:rPr>
        <w:instrText xml:space="preserve"> REF _Ref134905012 \h </w:instrText>
      </w:r>
      <w:r w:rsidRPr="00AA37CB">
        <w:rPr>
          <w:b/>
          <w:sz w:val="22"/>
          <w:szCs w:val="20"/>
        </w:rPr>
        <w:instrText xml:space="preserve"> \* MERGEFORMAT </w:instrText>
      </w:r>
      <w:r w:rsidRPr="008023F2">
        <w:rPr>
          <w:b/>
          <w:sz w:val="22"/>
          <w:szCs w:val="20"/>
        </w:rPr>
      </w:r>
      <w:r w:rsidRPr="008023F2">
        <w:rPr>
          <w:b/>
          <w:sz w:val="22"/>
          <w:szCs w:val="20"/>
        </w:rPr>
        <w:fldChar w:fldCharType="separate"/>
      </w:r>
      <w:r w:rsidRPr="00AA37CB">
        <w:rPr>
          <w:b/>
          <w:i/>
        </w:rPr>
        <w:t xml:space="preserve">Observation </w:t>
      </w:r>
      <w:r w:rsidRPr="00AA37CB">
        <w:rPr>
          <w:b/>
          <w:i/>
          <w:noProof/>
        </w:rPr>
        <w:t>1</w:t>
      </w:r>
      <w:r w:rsidRPr="00AA37CB">
        <w:rPr>
          <w:b/>
          <w:i/>
        </w:rPr>
        <w:t>:</w:t>
      </w:r>
      <w:r w:rsidRPr="00AA37CB">
        <w:rPr>
          <w:b/>
        </w:rPr>
        <w:t xml:space="preserve"> </w:t>
      </w:r>
      <w:r w:rsidRPr="00AA37CB">
        <w:rPr>
          <w:b/>
          <w:i/>
        </w:rPr>
        <w:t>Fixed time domain switching period location for Rel-16/17 is not backward-compatible.</w:t>
      </w:r>
      <w:r w:rsidRPr="008023F2">
        <w:rPr>
          <w:b/>
          <w:sz w:val="22"/>
          <w:szCs w:val="20"/>
        </w:rPr>
        <w:fldChar w:fldCharType="end"/>
      </w:r>
    </w:p>
    <w:p w14:paraId="230FBA07" w14:textId="3E997EB8" w:rsidR="00B7168D" w:rsidRPr="00B7168D" w:rsidRDefault="00B7168D" w:rsidP="00B7168D">
      <w:pPr>
        <w:snapToGrid w:val="0"/>
        <w:spacing w:before="120" w:after="60"/>
        <w:rPr>
          <w:b/>
          <w:sz w:val="22"/>
          <w:szCs w:val="20"/>
        </w:rPr>
      </w:pPr>
      <w:r w:rsidRPr="00B7168D">
        <w:rPr>
          <w:b/>
          <w:sz w:val="22"/>
          <w:szCs w:val="20"/>
        </w:rPr>
        <w:fldChar w:fldCharType="begin"/>
      </w:r>
      <w:r w:rsidRPr="00B7168D">
        <w:rPr>
          <w:b/>
          <w:sz w:val="22"/>
          <w:szCs w:val="20"/>
        </w:rPr>
        <w:instrText xml:space="preserve"> REF _Ref134524480 \h  \* MERGEFORMAT </w:instrText>
      </w:r>
      <w:r w:rsidRPr="00B7168D">
        <w:rPr>
          <w:b/>
          <w:sz w:val="22"/>
          <w:szCs w:val="20"/>
        </w:rPr>
      </w:r>
      <w:r w:rsidRPr="00B7168D">
        <w:rPr>
          <w:b/>
          <w:sz w:val="22"/>
          <w:szCs w:val="20"/>
        </w:rPr>
        <w:fldChar w:fldCharType="separate"/>
      </w:r>
      <w:r w:rsidR="00F54813" w:rsidRPr="00AA37CB">
        <w:rPr>
          <w:b/>
          <w:i/>
          <w:sz w:val="20"/>
        </w:rPr>
        <w:t xml:space="preserve">Proposal </w:t>
      </w:r>
      <w:r w:rsidR="00F54813" w:rsidRPr="00AA37CB">
        <w:rPr>
          <w:b/>
          <w:i/>
          <w:noProof/>
        </w:rPr>
        <w:t>4</w:t>
      </w:r>
      <w:r w:rsidR="00F54813" w:rsidRPr="00AA37CB">
        <w:rPr>
          <w:b/>
          <w:i/>
          <w:sz w:val="20"/>
        </w:rPr>
        <w:t xml:space="preserve">: </w:t>
      </w:r>
      <w:r w:rsidR="00F54813" w:rsidRPr="00AA37CB">
        <w:rPr>
          <w:b/>
          <w:i/>
        </w:rPr>
        <w:t>RAN4 don't support defining time domain location of switching period in Rel-16/</w:t>
      </w:r>
      <w:r w:rsidR="00F54813">
        <w:rPr>
          <w:i/>
        </w:rPr>
        <w:t>17.</w:t>
      </w:r>
      <w:r w:rsidRPr="00B7168D">
        <w:rPr>
          <w:b/>
          <w:sz w:val="22"/>
          <w:szCs w:val="20"/>
        </w:rPr>
        <w:fldChar w:fldCharType="end"/>
      </w:r>
    </w:p>
    <w:p w14:paraId="0ECEE3BA" w14:textId="4AB42055" w:rsidR="00B7168D" w:rsidRPr="00B7168D" w:rsidRDefault="00B7168D" w:rsidP="00B7168D">
      <w:pPr>
        <w:snapToGrid w:val="0"/>
        <w:spacing w:before="120"/>
        <w:rPr>
          <w:b/>
          <w:sz w:val="22"/>
          <w:szCs w:val="20"/>
        </w:rPr>
      </w:pPr>
      <w:r w:rsidRPr="00B7168D">
        <w:rPr>
          <w:b/>
          <w:sz w:val="22"/>
          <w:szCs w:val="20"/>
        </w:rPr>
        <w:fldChar w:fldCharType="begin"/>
      </w:r>
      <w:r w:rsidRPr="00B7168D">
        <w:rPr>
          <w:b/>
          <w:sz w:val="22"/>
          <w:szCs w:val="20"/>
        </w:rPr>
        <w:instrText xml:space="preserve"> REF _Ref134524482 \h  \* MERGEFORMAT </w:instrText>
      </w:r>
      <w:r w:rsidRPr="00B7168D">
        <w:rPr>
          <w:b/>
          <w:sz w:val="22"/>
          <w:szCs w:val="20"/>
        </w:rPr>
      </w:r>
      <w:r w:rsidRPr="00B7168D">
        <w:rPr>
          <w:b/>
          <w:sz w:val="22"/>
          <w:szCs w:val="20"/>
        </w:rPr>
        <w:fldChar w:fldCharType="separate"/>
      </w:r>
      <w:r w:rsidR="00A30D30" w:rsidRPr="00AA37CB">
        <w:rPr>
          <w:b/>
          <w:i/>
          <w:sz w:val="20"/>
        </w:rPr>
        <w:t xml:space="preserve">Proposal </w:t>
      </w:r>
      <w:r w:rsidR="00A30D30" w:rsidRPr="00AA37CB">
        <w:rPr>
          <w:b/>
          <w:i/>
          <w:noProof/>
        </w:rPr>
        <w:t>5</w:t>
      </w:r>
      <w:r w:rsidR="00A30D30" w:rsidRPr="00AA37CB">
        <w:rPr>
          <w:b/>
          <w:i/>
          <w:sz w:val="20"/>
        </w:rPr>
        <w:t xml:space="preserve">: </w:t>
      </w:r>
      <w:r w:rsidR="00A30D30" w:rsidRPr="00AA37CB">
        <w:rPr>
          <w:b/>
          <w:i/>
        </w:rPr>
        <w:t>The actual start point of the transmission on the switch-to bands can be defined per Tx switching instance in Rel-18.</w:t>
      </w:r>
      <w:r w:rsidRPr="00B7168D">
        <w:rPr>
          <w:b/>
          <w:sz w:val="22"/>
          <w:szCs w:val="20"/>
        </w:rPr>
        <w:fldChar w:fldCharType="end"/>
      </w:r>
      <w:bookmarkStart w:id="11" w:name="_GoBack"/>
    </w:p>
    <w:p w14:paraId="2257DDC1" w14:textId="52752405" w:rsidR="00B7168D" w:rsidRPr="00B7168D" w:rsidRDefault="00B7168D" w:rsidP="00B7168D">
      <w:pPr>
        <w:pStyle w:val="TF"/>
        <w:numPr>
          <w:ilvl w:val="0"/>
          <w:numId w:val="22"/>
        </w:numPr>
        <w:snapToGrid w:val="0"/>
        <w:spacing w:after="0"/>
        <w:ind w:left="714" w:hanging="357"/>
        <w:jc w:val="both"/>
        <w:rPr>
          <w:rFonts w:ascii="Times New Roman" w:eastAsia="宋体" w:hAnsi="Times New Roman"/>
          <w:i/>
          <w:kern w:val="2"/>
          <w:szCs w:val="22"/>
          <w:lang w:val="en-US" w:eastAsia="zh-CN"/>
        </w:rPr>
      </w:pPr>
      <w:r w:rsidRPr="00B7168D">
        <w:rPr>
          <w:rFonts w:ascii="Times New Roman" w:eastAsia="宋体" w:hAnsi="Times New Roman"/>
          <w:i/>
          <w:kern w:val="2"/>
          <w:szCs w:val="22"/>
          <w:lang w:val="en-US" w:eastAsia="zh-CN"/>
        </w:rPr>
        <w:t>The actual start point of transmission is different from T</w:t>
      </w:r>
      <w:r w:rsidRPr="00B7168D">
        <w:rPr>
          <w:rFonts w:ascii="Times New Roman" w:eastAsia="宋体" w:hAnsi="Times New Roman"/>
          <w:i/>
          <w:kern w:val="2"/>
          <w:szCs w:val="22"/>
          <w:vertAlign w:val="subscript"/>
          <w:lang w:val="en-US" w:eastAsia="zh-CN"/>
        </w:rPr>
        <w:t>0</w:t>
      </w:r>
    </w:p>
    <w:bookmarkEnd w:id="11"/>
    <w:p w14:paraId="1FE2EA04" w14:textId="77777777" w:rsidR="00B7168D" w:rsidRDefault="00B7168D" w:rsidP="00B7168D">
      <w:pPr>
        <w:pStyle w:val="TF"/>
        <w:numPr>
          <w:ilvl w:val="0"/>
          <w:numId w:val="22"/>
        </w:numPr>
        <w:snapToGrid w:val="0"/>
        <w:spacing w:after="120"/>
        <w:ind w:left="714" w:hanging="357"/>
        <w:jc w:val="both"/>
        <w:rPr>
          <w:rFonts w:ascii="Times New Roman" w:eastAsia="宋体" w:hAnsi="Times New Roman"/>
          <w:i/>
          <w:kern w:val="2"/>
          <w:szCs w:val="22"/>
          <w:lang w:val="en-US" w:eastAsia="zh-CN"/>
        </w:rPr>
      </w:pPr>
      <w:r w:rsidRPr="00B7168D">
        <w:rPr>
          <w:rFonts w:ascii="Times New Roman" w:eastAsia="宋体" w:hAnsi="Times New Roman"/>
          <w:i/>
          <w:kern w:val="2"/>
          <w:szCs w:val="22"/>
          <w:lang w:val="en-US" w:eastAsia="zh-CN"/>
        </w:rPr>
        <w:t>Define one actual start point T</w:t>
      </w:r>
      <w:r w:rsidRPr="00B7168D">
        <w:rPr>
          <w:rFonts w:ascii="Times New Roman" w:eastAsia="宋体" w:hAnsi="Times New Roman"/>
          <w:i/>
          <w:kern w:val="2"/>
          <w:szCs w:val="22"/>
          <w:vertAlign w:val="subscript"/>
          <w:lang w:val="en-US" w:eastAsia="zh-CN"/>
        </w:rPr>
        <w:t>start</w:t>
      </w:r>
      <w:r w:rsidRPr="00B7168D">
        <w:rPr>
          <w:rFonts w:ascii="Times New Roman" w:eastAsia="宋体" w:hAnsi="Times New Roman"/>
          <w:i/>
          <w:kern w:val="2"/>
          <w:szCs w:val="22"/>
          <w:lang w:val="en-US" w:eastAsia="zh-CN"/>
        </w:rPr>
        <w:t xml:space="preserve"> for both the band pairs in the Tx switching instance</w:t>
      </w:r>
    </w:p>
    <w:p w14:paraId="7859775C" w14:textId="16FC7B0B" w:rsidR="00D73EAA" w:rsidRPr="00D73EAA" w:rsidRDefault="00D73EAA" w:rsidP="00AA37CB">
      <w:pPr>
        <w:pStyle w:val="TF"/>
        <w:snapToGrid w:val="0"/>
        <w:spacing w:after="0"/>
        <w:jc w:val="both"/>
        <w:rPr>
          <w:rFonts w:ascii="Times New Roman" w:eastAsia="宋体" w:hAnsi="Times New Roman"/>
          <w:i/>
          <w:kern w:val="2"/>
          <w:szCs w:val="22"/>
          <w:lang w:val="en-US" w:eastAsia="zh-CN"/>
        </w:rPr>
      </w:pPr>
      <w:r w:rsidRPr="00D73EAA">
        <w:rPr>
          <w:rFonts w:ascii="Times New Roman" w:eastAsia="宋体" w:hAnsi="Times New Roman"/>
          <w:i/>
          <w:kern w:val="2"/>
          <w:szCs w:val="22"/>
          <w:lang w:val="en-US" w:eastAsia="zh-CN"/>
        </w:rPr>
        <w:fldChar w:fldCharType="begin"/>
      </w:r>
      <w:r w:rsidRPr="00D73EAA">
        <w:rPr>
          <w:rFonts w:ascii="Times New Roman" w:eastAsia="宋体" w:hAnsi="Times New Roman"/>
          <w:i/>
          <w:kern w:val="2"/>
          <w:szCs w:val="22"/>
          <w:lang w:val="en-US" w:eastAsia="zh-CN"/>
        </w:rPr>
        <w:instrText xml:space="preserve"> REF _Ref134541170 \h  \* MERGEFORMAT </w:instrText>
      </w:r>
      <w:r w:rsidRPr="00D73EAA">
        <w:rPr>
          <w:rFonts w:ascii="Times New Roman" w:eastAsia="宋体" w:hAnsi="Times New Roman"/>
          <w:i/>
          <w:kern w:val="2"/>
          <w:szCs w:val="22"/>
          <w:lang w:val="en-US" w:eastAsia="zh-CN"/>
        </w:rPr>
      </w:r>
      <w:r w:rsidRPr="00D73EAA">
        <w:rPr>
          <w:rFonts w:ascii="Times New Roman" w:eastAsia="宋体" w:hAnsi="Times New Roman"/>
          <w:i/>
          <w:kern w:val="2"/>
          <w:szCs w:val="22"/>
          <w:lang w:val="en-US" w:eastAsia="zh-CN"/>
        </w:rPr>
        <w:fldChar w:fldCharType="separate"/>
      </w:r>
      <w:r w:rsidRPr="00D73EAA">
        <w:rPr>
          <w:rFonts w:ascii="Times New Roman" w:hAnsi="Times New Roman"/>
          <w:i/>
        </w:rPr>
        <w:t xml:space="preserve">Proposal </w:t>
      </w:r>
      <w:r w:rsidRPr="00D73EAA">
        <w:rPr>
          <w:rFonts w:ascii="Times New Roman" w:hAnsi="Times New Roman"/>
          <w:i/>
          <w:noProof/>
        </w:rPr>
        <w:t>6</w:t>
      </w:r>
      <w:r w:rsidRPr="00D73EAA">
        <w:rPr>
          <w:rFonts w:ascii="Times New Roman" w:hAnsi="Times New Roman"/>
          <w:i/>
        </w:rPr>
        <w:t>: No need to introduce the band configurations for Rel-18 Tx.</w:t>
      </w:r>
      <w:r w:rsidRPr="00D73EAA">
        <w:rPr>
          <w:rFonts w:ascii="Times New Roman" w:eastAsia="宋体" w:hAnsi="Times New Roman"/>
          <w:i/>
          <w:kern w:val="2"/>
          <w:szCs w:val="22"/>
          <w:lang w:val="en-US" w:eastAsia="zh-CN"/>
        </w:rPr>
        <w:fldChar w:fldCharType="end"/>
      </w:r>
    </w:p>
    <w:p w14:paraId="555C6CDC" w14:textId="77777777" w:rsidR="00D73EAA" w:rsidRPr="001358FA" w:rsidRDefault="00D73EAA" w:rsidP="00D73EAA">
      <w:pPr>
        <w:pStyle w:val="a7"/>
        <w:numPr>
          <w:ilvl w:val="0"/>
          <w:numId w:val="22"/>
        </w:numPr>
        <w:snapToGrid w:val="0"/>
        <w:ind w:firstLineChars="0"/>
        <w:jc w:val="left"/>
        <w:rPr>
          <w:b/>
          <w:i/>
          <w:sz w:val="20"/>
          <w:szCs w:val="21"/>
        </w:rPr>
      </w:pPr>
      <w:r w:rsidRPr="001358FA">
        <w:rPr>
          <w:b/>
          <w:i/>
          <w:sz w:val="20"/>
          <w:szCs w:val="21"/>
        </w:rPr>
        <w:t>Band combinations along with UL configuration are up to the operators’ demand.</w:t>
      </w:r>
      <w:r>
        <w:rPr>
          <w:b/>
          <w:i/>
          <w:sz w:val="20"/>
          <w:szCs w:val="21"/>
        </w:rPr>
        <w:t xml:space="preserve"> And the </w:t>
      </w:r>
      <w:r w:rsidRPr="001358FA">
        <w:rPr>
          <w:b/>
          <w:i/>
          <w:sz w:val="20"/>
          <w:szCs w:val="21"/>
        </w:rPr>
        <w:t xml:space="preserve">existing CA/SUL </w:t>
      </w:r>
      <w:r>
        <w:rPr>
          <w:b/>
          <w:i/>
          <w:sz w:val="20"/>
          <w:szCs w:val="21"/>
        </w:rPr>
        <w:t>band combinations can be reused for Rel-18 Tx switching.</w:t>
      </w:r>
    </w:p>
    <w:p w14:paraId="55C91C99" w14:textId="77777777" w:rsidR="00D73EAA" w:rsidRDefault="00D73EAA" w:rsidP="00D73EAA">
      <w:pPr>
        <w:pStyle w:val="a7"/>
        <w:numPr>
          <w:ilvl w:val="0"/>
          <w:numId w:val="22"/>
        </w:numPr>
        <w:snapToGrid w:val="0"/>
        <w:ind w:firstLineChars="0"/>
        <w:jc w:val="left"/>
        <w:rPr>
          <w:b/>
          <w:i/>
          <w:sz w:val="20"/>
          <w:szCs w:val="21"/>
        </w:rPr>
      </w:pPr>
      <w:r w:rsidRPr="001358FA">
        <w:rPr>
          <w:b/>
          <w:i/>
          <w:sz w:val="20"/>
          <w:szCs w:val="21"/>
        </w:rPr>
        <w:t xml:space="preserve">The network would schedule the switching between band pairs </w:t>
      </w:r>
      <w:r>
        <w:rPr>
          <w:b/>
          <w:i/>
          <w:sz w:val="20"/>
          <w:szCs w:val="21"/>
        </w:rPr>
        <w:t xml:space="preserve">for a band combination </w:t>
      </w:r>
      <w:r w:rsidRPr="001358FA">
        <w:rPr>
          <w:b/>
          <w:i/>
          <w:sz w:val="20"/>
          <w:szCs w:val="21"/>
        </w:rPr>
        <w:t>accor</w:t>
      </w:r>
      <w:r>
        <w:rPr>
          <w:b/>
          <w:i/>
          <w:sz w:val="20"/>
          <w:szCs w:val="21"/>
        </w:rPr>
        <w:t>ding to the reported band pairs and</w:t>
      </w:r>
      <w:r w:rsidRPr="001358FA">
        <w:rPr>
          <w:b/>
          <w:i/>
          <w:sz w:val="20"/>
          <w:szCs w:val="21"/>
        </w:rPr>
        <w:t xml:space="preserve"> UL configurations</w:t>
      </w:r>
      <w:r>
        <w:rPr>
          <w:b/>
          <w:i/>
          <w:sz w:val="20"/>
          <w:szCs w:val="21"/>
        </w:rPr>
        <w:t xml:space="preserve">. And the network can avoid </w:t>
      </w:r>
      <w:r w:rsidRPr="00DF61A6">
        <w:rPr>
          <w:b/>
          <w:i/>
          <w:sz w:val="20"/>
          <w:szCs w:val="21"/>
        </w:rPr>
        <w:t>scheduling Tx switching</w:t>
      </w:r>
      <w:r>
        <w:rPr>
          <w:b/>
          <w:i/>
          <w:sz w:val="20"/>
          <w:szCs w:val="21"/>
        </w:rPr>
        <w:t xml:space="preserve"> that result in concurrent transmission for two bands without UL CA configuration.</w:t>
      </w:r>
    </w:p>
    <w:p w14:paraId="1F5B00E9" w14:textId="77777777" w:rsidR="00D73EAA" w:rsidRPr="001358FA" w:rsidRDefault="00D73EAA" w:rsidP="00D73EAA">
      <w:pPr>
        <w:pStyle w:val="a7"/>
        <w:numPr>
          <w:ilvl w:val="0"/>
          <w:numId w:val="22"/>
        </w:numPr>
        <w:snapToGrid w:val="0"/>
        <w:ind w:firstLineChars="0"/>
        <w:jc w:val="left"/>
        <w:rPr>
          <w:b/>
          <w:i/>
          <w:sz w:val="20"/>
          <w:szCs w:val="21"/>
        </w:rPr>
      </w:pPr>
      <w:r>
        <w:rPr>
          <w:b/>
          <w:i/>
          <w:sz w:val="20"/>
          <w:szCs w:val="21"/>
        </w:rPr>
        <w:t xml:space="preserve">Rel-18 should introduce </w:t>
      </w:r>
      <w:r w:rsidRPr="001358FA">
        <w:rPr>
          <w:b/>
          <w:i/>
          <w:sz w:val="20"/>
          <w:szCs w:val="21"/>
        </w:rPr>
        <w:t>Tx switching capability per band combination</w:t>
      </w:r>
      <w:r>
        <w:rPr>
          <w:b/>
          <w:i/>
          <w:sz w:val="20"/>
          <w:szCs w:val="21"/>
        </w:rPr>
        <w:t>.</w:t>
      </w:r>
    </w:p>
    <w:p w14:paraId="4CEC5A7A" w14:textId="77777777" w:rsidR="00B7168D" w:rsidRDefault="00B7168D" w:rsidP="002D6C0A">
      <w:pPr>
        <w:snapToGrid w:val="0"/>
        <w:spacing w:after="60"/>
        <w:rPr>
          <w:sz w:val="22"/>
          <w:szCs w:val="20"/>
        </w:rPr>
      </w:pP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786FD2EB" w14:textId="6671FA18" w:rsidR="00BE73A0" w:rsidRPr="00980688" w:rsidRDefault="00DC6310"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[1]</w:t>
      </w:r>
      <w:r w:rsidRPr="00980688">
        <w:rPr>
          <w:sz w:val="20"/>
          <w:szCs w:val="20"/>
        </w:rPr>
        <w:tab/>
      </w:r>
      <w:r w:rsidR="00AA37CB" w:rsidRPr="00AA37CB">
        <w:rPr>
          <w:sz w:val="20"/>
          <w:szCs w:val="20"/>
        </w:rPr>
        <w:t>R4-2214464</w:t>
      </w:r>
      <w:r w:rsidRPr="00980688">
        <w:rPr>
          <w:sz w:val="20"/>
          <w:szCs w:val="20"/>
        </w:rPr>
        <w:t>, “</w:t>
      </w:r>
      <w:r w:rsidR="00AA37CB" w:rsidRPr="00AA37CB">
        <w:rPr>
          <w:sz w:val="20"/>
          <w:szCs w:val="20"/>
        </w:rPr>
        <w:t>Reply LS on UL Tx switching across 3 or 4 bands</w:t>
      </w:r>
      <w:r w:rsidRPr="00980688">
        <w:rPr>
          <w:sz w:val="20"/>
          <w:szCs w:val="20"/>
        </w:rPr>
        <w:t>”,</w:t>
      </w:r>
      <w:r w:rsidR="0000160F">
        <w:rPr>
          <w:sz w:val="20"/>
          <w:szCs w:val="20"/>
        </w:rPr>
        <w:t xml:space="preserve"> </w:t>
      </w:r>
      <w:r w:rsidRPr="00980688">
        <w:rPr>
          <w:sz w:val="20"/>
          <w:szCs w:val="20"/>
        </w:rPr>
        <w:t>TSG RAN</w:t>
      </w:r>
      <w:r w:rsidR="00EF17AA" w:rsidRPr="00980688">
        <w:rPr>
          <w:sz w:val="20"/>
          <w:szCs w:val="20"/>
        </w:rPr>
        <w:t>4</w:t>
      </w:r>
      <w:r w:rsidRPr="00980688">
        <w:rPr>
          <w:sz w:val="20"/>
          <w:szCs w:val="20"/>
        </w:rPr>
        <w:t xml:space="preserve"> Meeting #</w:t>
      </w:r>
      <w:r w:rsidR="00EF17AA" w:rsidRPr="00980688">
        <w:rPr>
          <w:sz w:val="20"/>
          <w:szCs w:val="20"/>
        </w:rPr>
        <w:t>10</w:t>
      </w:r>
      <w:r w:rsidR="0000160F">
        <w:rPr>
          <w:sz w:val="20"/>
          <w:szCs w:val="20"/>
        </w:rPr>
        <w:t>6</w:t>
      </w:r>
      <w:r w:rsidR="00AA37CB">
        <w:rPr>
          <w:sz w:val="20"/>
          <w:szCs w:val="20"/>
        </w:rPr>
        <w:t>bis-e</w:t>
      </w:r>
      <w:r w:rsidRPr="00980688">
        <w:rPr>
          <w:sz w:val="20"/>
          <w:szCs w:val="20"/>
        </w:rPr>
        <w:t>.</w:t>
      </w:r>
    </w:p>
    <w:p w14:paraId="494885BD" w14:textId="5B13B254" w:rsidR="00364282" w:rsidRDefault="00364282"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[2]</w:t>
      </w:r>
      <w:r w:rsidRPr="00980688">
        <w:rPr>
          <w:sz w:val="20"/>
          <w:szCs w:val="20"/>
        </w:rPr>
        <w:tab/>
      </w:r>
      <w:r w:rsidR="00AA37CB" w:rsidRPr="00AA37CB">
        <w:rPr>
          <w:sz w:val="20"/>
          <w:szCs w:val="20"/>
        </w:rPr>
        <w:t>R4-2306621</w:t>
      </w:r>
      <w:r w:rsidRPr="00980688">
        <w:rPr>
          <w:sz w:val="20"/>
          <w:szCs w:val="20"/>
        </w:rPr>
        <w:t>, “</w:t>
      </w:r>
      <w:r w:rsidR="002D44EE" w:rsidRPr="002D44EE">
        <w:rPr>
          <w:sz w:val="20"/>
          <w:szCs w:val="20"/>
        </w:rPr>
        <w:t>WF on Rel-18 Tx switching across 3/4 bands</w:t>
      </w:r>
      <w:r w:rsidRPr="00980688">
        <w:rPr>
          <w:sz w:val="20"/>
          <w:szCs w:val="20"/>
        </w:rPr>
        <w:t>”,</w:t>
      </w:r>
      <w:r w:rsidR="000B0427">
        <w:rPr>
          <w:sz w:val="20"/>
          <w:szCs w:val="20"/>
        </w:rPr>
        <w:t xml:space="preserve"> </w:t>
      </w:r>
      <w:r w:rsidR="00DD31EB" w:rsidRPr="00DD31EB">
        <w:rPr>
          <w:sz w:val="20"/>
          <w:szCs w:val="20"/>
        </w:rPr>
        <w:t>TSG RAN4 Meeting #106</w:t>
      </w:r>
      <w:r w:rsidR="002D44EE">
        <w:rPr>
          <w:sz w:val="20"/>
          <w:szCs w:val="20"/>
        </w:rPr>
        <w:t>bis-e</w:t>
      </w:r>
      <w:r w:rsidR="00DD31EB" w:rsidRPr="00DD31EB">
        <w:rPr>
          <w:sz w:val="20"/>
          <w:szCs w:val="20"/>
        </w:rPr>
        <w:t>.</w:t>
      </w:r>
    </w:p>
    <w:p w14:paraId="66DDC202" w14:textId="093BFA57" w:rsidR="00DD31EB" w:rsidRDefault="00DD31EB" w:rsidP="002D6C0A">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[3]   </w:t>
      </w:r>
      <w:r w:rsidR="005F35F9" w:rsidRPr="005F35F9">
        <w:rPr>
          <w:sz w:val="20"/>
          <w:szCs w:val="20"/>
        </w:rPr>
        <w:t>R4-2306647</w:t>
      </w:r>
      <w:r>
        <w:rPr>
          <w:sz w:val="20"/>
          <w:szCs w:val="20"/>
        </w:rPr>
        <w:t>, “</w:t>
      </w:r>
      <w:r w:rsidR="005F35F9" w:rsidRPr="005F35F9">
        <w:rPr>
          <w:sz w:val="20"/>
          <w:szCs w:val="20"/>
        </w:rPr>
        <w:t>Rel-16 draftCR to 38 101-1 for Clarification of UL Tx Switching</w:t>
      </w:r>
      <w:r>
        <w:rPr>
          <w:sz w:val="20"/>
          <w:szCs w:val="20"/>
        </w:rPr>
        <w:t xml:space="preserve">”, </w:t>
      </w:r>
      <w:r w:rsidRPr="00DD31EB">
        <w:rPr>
          <w:sz w:val="20"/>
          <w:szCs w:val="20"/>
        </w:rPr>
        <w:t>TSG RAN4 Meeting #106</w:t>
      </w:r>
      <w:r w:rsidR="005F35F9">
        <w:rPr>
          <w:sz w:val="20"/>
          <w:szCs w:val="20"/>
        </w:rPr>
        <w:t>bis-e</w:t>
      </w:r>
      <w:r w:rsidRPr="00DD31EB">
        <w:rPr>
          <w:sz w:val="20"/>
          <w:szCs w:val="20"/>
        </w:rPr>
        <w:t>.</w:t>
      </w:r>
    </w:p>
    <w:sectPr w:rsidR="00DD31EB" w:rsidSect="00385020">
      <w:headerReference w:type="default" r:id="rId16"/>
      <w:pgSz w:w="11906" w:h="16838"/>
      <w:pgMar w:top="1418" w:right="1134" w:bottom="1418"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5AB07" w14:textId="77777777" w:rsidR="00A65A07" w:rsidRDefault="00A65A07" w:rsidP="00D5618B">
      <w:r>
        <w:separator/>
      </w:r>
    </w:p>
  </w:endnote>
  <w:endnote w:type="continuationSeparator" w:id="0">
    <w:p w14:paraId="17738B3C" w14:textId="77777777" w:rsidR="00A65A07" w:rsidRDefault="00A65A07"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132D0" w14:textId="77777777" w:rsidR="00A65A07" w:rsidRDefault="00A65A07" w:rsidP="00D5618B">
      <w:r>
        <w:separator/>
      </w:r>
    </w:p>
  </w:footnote>
  <w:footnote w:type="continuationSeparator" w:id="0">
    <w:p w14:paraId="3AD234E2" w14:textId="77777777" w:rsidR="00A65A07" w:rsidRDefault="00A65A07"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C168AA" w:rsidRDefault="00C168AA">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35D66"/>
    <w:multiLevelType w:val="hybridMultilevel"/>
    <w:tmpl w:val="C43E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22E432B4"/>
    <w:multiLevelType w:val="hybridMultilevel"/>
    <w:tmpl w:val="AC62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2CE05139"/>
    <w:multiLevelType w:val="hybridMultilevel"/>
    <w:tmpl w:val="4CF60EF0"/>
    <w:lvl w:ilvl="0" w:tplc="34C84F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A7683F"/>
    <w:multiLevelType w:val="hybridMultilevel"/>
    <w:tmpl w:val="3094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B3D18"/>
    <w:multiLevelType w:val="hybridMultilevel"/>
    <w:tmpl w:val="DE28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300AD"/>
    <w:multiLevelType w:val="hybridMultilevel"/>
    <w:tmpl w:val="EEE8C8E6"/>
    <w:lvl w:ilvl="0" w:tplc="A9326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F069BE"/>
    <w:multiLevelType w:val="hybridMultilevel"/>
    <w:tmpl w:val="8960B5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4C12B2"/>
    <w:multiLevelType w:val="hybridMultilevel"/>
    <w:tmpl w:val="C980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234ED"/>
    <w:multiLevelType w:val="hybridMultilevel"/>
    <w:tmpl w:val="9FCE0FB8"/>
    <w:lvl w:ilvl="0" w:tplc="1D30FC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7048EC"/>
    <w:multiLevelType w:val="hybridMultilevel"/>
    <w:tmpl w:val="7CBCD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A4D5C37"/>
    <w:multiLevelType w:val="hybridMultilevel"/>
    <w:tmpl w:val="756C38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5B09BA"/>
    <w:multiLevelType w:val="hybridMultilevel"/>
    <w:tmpl w:val="941C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37B6D"/>
    <w:multiLevelType w:val="hybridMultilevel"/>
    <w:tmpl w:val="23B6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8"/>
  </w:num>
  <w:num w:numId="4">
    <w:abstractNumId w:val="4"/>
  </w:num>
  <w:num w:numId="5">
    <w:abstractNumId w:val="6"/>
  </w:num>
  <w:num w:numId="6">
    <w:abstractNumId w:val="20"/>
  </w:num>
  <w:num w:numId="7">
    <w:abstractNumId w:val="5"/>
  </w:num>
  <w:num w:numId="8">
    <w:abstractNumId w:val="19"/>
  </w:num>
  <w:num w:numId="9">
    <w:abstractNumId w:val="12"/>
  </w:num>
  <w:num w:numId="10">
    <w:abstractNumId w:val="1"/>
  </w:num>
  <w:num w:numId="11">
    <w:abstractNumId w:val="10"/>
  </w:num>
  <w:num w:numId="12">
    <w:abstractNumId w:val="9"/>
  </w:num>
  <w:num w:numId="13">
    <w:abstractNumId w:val="2"/>
  </w:num>
  <w:num w:numId="14">
    <w:abstractNumId w:val="8"/>
  </w:num>
  <w:num w:numId="15">
    <w:abstractNumId w:val="21"/>
  </w:num>
  <w:num w:numId="16">
    <w:abstractNumId w:val="24"/>
  </w:num>
  <w:num w:numId="17">
    <w:abstractNumId w:val="13"/>
  </w:num>
  <w:num w:numId="18">
    <w:abstractNumId w:val="23"/>
  </w:num>
  <w:num w:numId="19">
    <w:abstractNumId w:val="3"/>
  </w:num>
  <w:num w:numId="20">
    <w:abstractNumId w:val="22"/>
  </w:num>
  <w:num w:numId="21">
    <w:abstractNumId w:val="16"/>
  </w:num>
  <w:num w:numId="22">
    <w:abstractNumId w:val="14"/>
  </w:num>
  <w:num w:numId="23">
    <w:abstractNumId w:val="0"/>
  </w:num>
  <w:num w:numId="24">
    <w:abstractNumId w:val="7"/>
  </w:num>
  <w:num w:numId="25">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A89"/>
    <w:rsid w:val="000241CD"/>
    <w:rsid w:val="00024959"/>
    <w:rsid w:val="00024B1D"/>
    <w:rsid w:val="00025E8F"/>
    <w:rsid w:val="00026563"/>
    <w:rsid w:val="00027CAC"/>
    <w:rsid w:val="0003025B"/>
    <w:rsid w:val="00030957"/>
    <w:rsid w:val="000311B7"/>
    <w:rsid w:val="000328EF"/>
    <w:rsid w:val="0003334A"/>
    <w:rsid w:val="0003382E"/>
    <w:rsid w:val="00034492"/>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C2C"/>
    <w:rsid w:val="000F700F"/>
    <w:rsid w:val="000F70C1"/>
    <w:rsid w:val="000F70C8"/>
    <w:rsid w:val="000F70E0"/>
    <w:rsid w:val="000F750E"/>
    <w:rsid w:val="000F7D73"/>
    <w:rsid w:val="00100638"/>
    <w:rsid w:val="00100D0E"/>
    <w:rsid w:val="00101EC1"/>
    <w:rsid w:val="00102804"/>
    <w:rsid w:val="00102B4D"/>
    <w:rsid w:val="001033DA"/>
    <w:rsid w:val="00105D4F"/>
    <w:rsid w:val="0010628D"/>
    <w:rsid w:val="00106502"/>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4F93"/>
    <w:rsid w:val="002060CF"/>
    <w:rsid w:val="0020629B"/>
    <w:rsid w:val="002068E6"/>
    <w:rsid w:val="00211040"/>
    <w:rsid w:val="00211F9F"/>
    <w:rsid w:val="00212427"/>
    <w:rsid w:val="002131E0"/>
    <w:rsid w:val="00213A14"/>
    <w:rsid w:val="00214B90"/>
    <w:rsid w:val="00214D42"/>
    <w:rsid w:val="00215703"/>
    <w:rsid w:val="002159B3"/>
    <w:rsid w:val="00216CA3"/>
    <w:rsid w:val="002210C0"/>
    <w:rsid w:val="002211D8"/>
    <w:rsid w:val="0022171C"/>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3852"/>
    <w:rsid w:val="002C4583"/>
    <w:rsid w:val="002C4601"/>
    <w:rsid w:val="002C59C0"/>
    <w:rsid w:val="002C6F34"/>
    <w:rsid w:val="002D009B"/>
    <w:rsid w:val="002D12B5"/>
    <w:rsid w:val="002D289B"/>
    <w:rsid w:val="002D356E"/>
    <w:rsid w:val="002D3BC6"/>
    <w:rsid w:val="002D44EE"/>
    <w:rsid w:val="002D6388"/>
    <w:rsid w:val="002D6937"/>
    <w:rsid w:val="002D6C0A"/>
    <w:rsid w:val="002D6D05"/>
    <w:rsid w:val="002D6F2A"/>
    <w:rsid w:val="002D706F"/>
    <w:rsid w:val="002D726E"/>
    <w:rsid w:val="002D75B8"/>
    <w:rsid w:val="002D7DEE"/>
    <w:rsid w:val="002E0CA4"/>
    <w:rsid w:val="002E1212"/>
    <w:rsid w:val="002E23B9"/>
    <w:rsid w:val="002E3268"/>
    <w:rsid w:val="002E389B"/>
    <w:rsid w:val="002E3B10"/>
    <w:rsid w:val="002E4D43"/>
    <w:rsid w:val="002E5905"/>
    <w:rsid w:val="002E5E07"/>
    <w:rsid w:val="002E5F04"/>
    <w:rsid w:val="002E6A83"/>
    <w:rsid w:val="002E767C"/>
    <w:rsid w:val="002F0378"/>
    <w:rsid w:val="002F0C66"/>
    <w:rsid w:val="002F0E6F"/>
    <w:rsid w:val="002F1412"/>
    <w:rsid w:val="002F1ACC"/>
    <w:rsid w:val="002F4775"/>
    <w:rsid w:val="002F4B9F"/>
    <w:rsid w:val="002F52C9"/>
    <w:rsid w:val="002F6EBC"/>
    <w:rsid w:val="002F7E7F"/>
    <w:rsid w:val="0030020A"/>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9099D"/>
    <w:rsid w:val="003916B5"/>
    <w:rsid w:val="0039181B"/>
    <w:rsid w:val="00392BAD"/>
    <w:rsid w:val="003934F2"/>
    <w:rsid w:val="00394CDD"/>
    <w:rsid w:val="00395100"/>
    <w:rsid w:val="00395ABA"/>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C6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D1EF3"/>
    <w:rsid w:val="004D4695"/>
    <w:rsid w:val="004D5F7E"/>
    <w:rsid w:val="004D6171"/>
    <w:rsid w:val="004D6FD2"/>
    <w:rsid w:val="004D7559"/>
    <w:rsid w:val="004D7E6A"/>
    <w:rsid w:val="004E11C5"/>
    <w:rsid w:val="004E12A8"/>
    <w:rsid w:val="004E1789"/>
    <w:rsid w:val="004E1A33"/>
    <w:rsid w:val="004E1B49"/>
    <w:rsid w:val="004E2782"/>
    <w:rsid w:val="004E2887"/>
    <w:rsid w:val="004E31F6"/>
    <w:rsid w:val="004E3836"/>
    <w:rsid w:val="004E3A93"/>
    <w:rsid w:val="004E64DB"/>
    <w:rsid w:val="004E7582"/>
    <w:rsid w:val="004E7B3E"/>
    <w:rsid w:val="004E7EF5"/>
    <w:rsid w:val="004F01C4"/>
    <w:rsid w:val="004F0B06"/>
    <w:rsid w:val="004F0FC0"/>
    <w:rsid w:val="004F125E"/>
    <w:rsid w:val="004F1929"/>
    <w:rsid w:val="004F5244"/>
    <w:rsid w:val="004F5F34"/>
    <w:rsid w:val="005008DD"/>
    <w:rsid w:val="00503695"/>
    <w:rsid w:val="00503C75"/>
    <w:rsid w:val="00503CC1"/>
    <w:rsid w:val="00504054"/>
    <w:rsid w:val="00505085"/>
    <w:rsid w:val="0050587B"/>
    <w:rsid w:val="00505AC8"/>
    <w:rsid w:val="0050631F"/>
    <w:rsid w:val="00506EC3"/>
    <w:rsid w:val="005070E5"/>
    <w:rsid w:val="0051054D"/>
    <w:rsid w:val="0051263F"/>
    <w:rsid w:val="00513368"/>
    <w:rsid w:val="0051494E"/>
    <w:rsid w:val="00514DEF"/>
    <w:rsid w:val="00514E78"/>
    <w:rsid w:val="00515E8F"/>
    <w:rsid w:val="005169B2"/>
    <w:rsid w:val="00517014"/>
    <w:rsid w:val="0052106B"/>
    <w:rsid w:val="005210CA"/>
    <w:rsid w:val="00521416"/>
    <w:rsid w:val="0052385C"/>
    <w:rsid w:val="00523A16"/>
    <w:rsid w:val="00524173"/>
    <w:rsid w:val="005242FE"/>
    <w:rsid w:val="005247B7"/>
    <w:rsid w:val="00526A29"/>
    <w:rsid w:val="0052721A"/>
    <w:rsid w:val="005275FC"/>
    <w:rsid w:val="005300FD"/>
    <w:rsid w:val="005312BB"/>
    <w:rsid w:val="0053203B"/>
    <w:rsid w:val="00534AAF"/>
    <w:rsid w:val="005353CD"/>
    <w:rsid w:val="005359F9"/>
    <w:rsid w:val="005378E8"/>
    <w:rsid w:val="00537DFE"/>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6BC0"/>
    <w:rsid w:val="005975B6"/>
    <w:rsid w:val="00597A68"/>
    <w:rsid w:val="005A2F9D"/>
    <w:rsid w:val="005A407F"/>
    <w:rsid w:val="005A52B5"/>
    <w:rsid w:val="005A646B"/>
    <w:rsid w:val="005A64C4"/>
    <w:rsid w:val="005A6668"/>
    <w:rsid w:val="005A7C55"/>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F43"/>
    <w:rsid w:val="005E633F"/>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3100"/>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594"/>
    <w:rsid w:val="0064770F"/>
    <w:rsid w:val="00650061"/>
    <w:rsid w:val="00650BA3"/>
    <w:rsid w:val="00651903"/>
    <w:rsid w:val="0065331A"/>
    <w:rsid w:val="006535BF"/>
    <w:rsid w:val="0065407A"/>
    <w:rsid w:val="00654517"/>
    <w:rsid w:val="00654CB1"/>
    <w:rsid w:val="0065538B"/>
    <w:rsid w:val="00655FBB"/>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378"/>
    <w:rsid w:val="00685C81"/>
    <w:rsid w:val="0068642A"/>
    <w:rsid w:val="00686437"/>
    <w:rsid w:val="00686CBD"/>
    <w:rsid w:val="00687FBA"/>
    <w:rsid w:val="0069227D"/>
    <w:rsid w:val="00692C7B"/>
    <w:rsid w:val="006941CA"/>
    <w:rsid w:val="006954E8"/>
    <w:rsid w:val="00695570"/>
    <w:rsid w:val="0069575E"/>
    <w:rsid w:val="00695DA0"/>
    <w:rsid w:val="00696996"/>
    <w:rsid w:val="006978A7"/>
    <w:rsid w:val="006A0A07"/>
    <w:rsid w:val="006A0D75"/>
    <w:rsid w:val="006A2E24"/>
    <w:rsid w:val="006A3CFA"/>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509"/>
    <w:rsid w:val="007069AC"/>
    <w:rsid w:val="0070755C"/>
    <w:rsid w:val="00710904"/>
    <w:rsid w:val="007125BA"/>
    <w:rsid w:val="00712DB0"/>
    <w:rsid w:val="00714FA7"/>
    <w:rsid w:val="00715328"/>
    <w:rsid w:val="00715E9D"/>
    <w:rsid w:val="007164AB"/>
    <w:rsid w:val="007169C4"/>
    <w:rsid w:val="00716E29"/>
    <w:rsid w:val="0071767D"/>
    <w:rsid w:val="00717EE5"/>
    <w:rsid w:val="007212ED"/>
    <w:rsid w:val="00722317"/>
    <w:rsid w:val="007230FF"/>
    <w:rsid w:val="00724EF7"/>
    <w:rsid w:val="00725311"/>
    <w:rsid w:val="00725364"/>
    <w:rsid w:val="00725C2F"/>
    <w:rsid w:val="0072669A"/>
    <w:rsid w:val="0073058E"/>
    <w:rsid w:val="007309C0"/>
    <w:rsid w:val="00731E9A"/>
    <w:rsid w:val="007321B4"/>
    <w:rsid w:val="00732F2E"/>
    <w:rsid w:val="007334C3"/>
    <w:rsid w:val="00733F7E"/>
    <w:rsid w:val="00735679"/>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0A5B"/>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75E"/>
    <w:rsid w:val="008A778E"/>
    <w:rsid w:val="008B034E"/>
    <w:rsid w:val="008B0C7A"/>
    <w:rsid w:val="008B1F6A"/>
    <w:rsid w:val="008B317F"/>
    <w:rsid w:val="008B4C84"/>
    <w:rsid w:val="008B590D"/>
    <w:rsid w:val="008B7337"/>
    <w:rsid w:val="008C05A1"/>
    <w:rsid w:val="008C0AFC"/>
    <w:rsid w:val="008C1EEC"/>
    <w:rsid w:val="008C2ADE"/>
    <w:rsid w:val="008C30AE"/>
    <w:rsid w:val="008C315B"/>
    <w:rsid w:val="008C33C2"/>
    <w:rsid w:val="008C3721"/>
    <w:rsid w:val="008C5A9F"/>
    <w:rsid w:val="008C5F5F"/>
    <w:rsid w:val="008C659D"/>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1A8"/>
    <w:rsid w:val="0091658D"/>
    <w:rsid w:val="00916731"/>
    <w:rsid w:val="009177D2"/>
    <w:rsid w:val="009203B0"/>
    <w:rsid w:val="00920919"/>
    <w:rsid w:val="00921E24"/>
    <w:rsid w:val="00922580"/>
    <w:rsid w:val="00923904"/>
    <w:rsid w:val="00924167"/>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EA5"/>
    <w:rsid w:val="009544CC"/>
    <w:rsid w:val="009547EC"/>
    <w:rsid w:val="00955290"/>
    <w:rsid w:val="00956081"/>
    <w:rsid w:val="00956A92"/>
    <w:rsid w:val="009570EE"/>
    <w:rsid w:val="0096160D"/>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C107C"/>
    <w:rsid w:val="009C2060"/>
    <w:rsid w:val="009C387D"/>
    <w:rsid w:val="009C3C78"/>
    <w:rsid w:val="009C3EFB"/>
    <w:rsid w:val="009C550B"/>
    <w:rsid w:val="009C67DC"/>
    <w:rsid w:val="009C70D0"/>
    <w:rsid w:val="009C74C7"/>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CE7"/>
    <w:rsid w:val="009E5DF4"/>
    <w:rsid w:val="009E6064"/>
    <w:rsid w:val="009E75B5"/>
    <w:rsid w:val="009F0925"/>
    <w:rsid w:val="009F099B"/>
    <w:rsid w:val="009F0C3A"/>
    <w:rsid w:val="009F13B3"/>
    <w:rsid w:val="009F143F"/>
    <w:rsid w:val="009F152E"/>
    <w:rsid w:val="009F1FCB"/>
    <w:rsid w:val="009F2894"/>
    <w:rsid w:val="009F3277"/>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A07"/>
    <w:rsid w:val="00A65B52"/>
    <w:rsid w:val="00A660CF"/>
    <w:rsid w:val="00A66409"/>
    <w:rsid w:val="00A7270F"/>
    <w:rsid w:val="00A727A4"/>
    <w:rsid w:val="00A73990"/>
    <w:rsid w:val="00A742A8"/>
    <w:rsid w:val="00A74360"/>
    <w:rsid w:val="00A74469"/>
    <w:rsid w:val="00A74D2A"/>
    <w:rsid w:val="00A74D95"/>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58F9"/>
    <w:rsid w:val="00AB5C94"/>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12C0"/>
    <w:rsid w:val="00AE2CD8"/>
    <w:rsid w:val="00AE3031"/>
    <w:rsid w:val="00AE3296"/>
    <w:rsid w:val="00AE3659"/>
    <w:rsid w:val="00AE3A35"/>
    <w:rsid w:val="00AE4849"/>
    <w:rsid w:val="00AE4CCB"/>
    <w:rsid w:val="00AE533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11D73"/>
    <w:rsid w:val="00B12225"/>
    <w:rsid w:val="00B129D0"/>
    <w:rsid w:val="00B12C3D"/>
    <w:rsid w:val="00B134B2"/>
    <w:rsid w:val="00B13E3F"/>
    <w:rsid w:val="00B13F0B"/>
    <w:rsid w:val="00B15D42"/>
    <w:rsid w:val="00B163B1"/>
    <w:rsid w:val="00B16532"/>
    <w:rsid w:val="00B23C21"/>
    <w:rsid w:val="00B23D0F"/>
    <w:rsid w:val="00B23EDC"/>
    <w:rsid w:val="00B243F0"/>
    <w:rsid w:val="00B24975"/>
    <w:rsid w:val="00B24DE4"/>
    <w:rsid w:val="00B252F7"/>
    <w:rsid w:val="00B25D45"/>
    <w:rsid w:val="00B25E2E"/>
    <w:rsid w:val="00B26232"/>
    <w:rsid w:val="00B26711"/>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105FF"/>
    <w:rsid w:val="00C1061D"/>
    <w:rsid w:val="00C10797"/>
    <w:rsid w:val="00C10C29"/>
    <w:rsid w:val="00C14D53"/>
    <w:rsid w:val="00C15B2F"/>
    <w:rsid w:val="00C15D66"/>
    <w:rsid w:val="00C15FF8"/>
    <w:rsid w:val="00C168AA"/>
    <w:rsid w:val="00C16AEC"/>
    <w:rsid w:val="00C17984"/>
    <w:rsid w:val="00C20161"/>
    <w:rsid w:val="00C2034A"/>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50F08"/>
    <w:rsid w:val="00C51587"/>
    <w:rsid w:val="00C52A47"/>
    <w:rsid w:val="00C5325C"/>
    <w:rsid w:val="00C5342B"/>
    <w:rsid w:val="00C53434"/>
    <w:rsid w:val="00C54A4F"/>
    <w:rsid w:val="00C54DAD"/>
    <w:rsid w:val="00C54E91"/>
    <w:rsid w:val="00C55813"/>
    <w:rsid w:val="00C558FE"/>
    <w:rsid w:val="00C564B4"/>
    <w:rsid w:val="00C57B25"/>
    <w:rsid w:val="00C60D97"/>
    <w:rsid w:val="00C60DD9"/>
    <w:rsid w:val="00C612FA"/>
    <w:rsid w:val="00C62AAE"/>
    <w:rsid w:val="00C63A08"/>
    <w:rsid w:val="00C64C4F"/>
    <w:rsid w:val="00C65985"/>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2E9"/>
    <w:rsid w:val="00C97E18"/>
    <w:rsid w:val="00CA09D3"/>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47EA"/>
    <w:rsid w:val="00CB6CF9"/>
    <w:rsid w:val="00CB6DD9"/>
    <w:rsid w:val="00CB7B20"/>
    <w:rsid w:val="00CB7C62"/>
    <w:rsid w:val="00CC0CB4"/>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536D"/>
    <w:rsid w:val="00CD5B89"/>
    <w:rsid w:val="00CD5BE2"/>
    <w:rsid w:val="00CD6A30"/>
    <w:rsid w:val="00CD6C68"/>
    <w:rsid w:val="00CD79FD"/>
    <w:rsid w:val="00CD7FEA"/>
    <w:rsid w:val="00CE314F"/>
    <w:rsid w:val="00CE3AD2"/>
    <w:rsid w:val="00CE4474"/>
    <w:rsid w:val="00CE6358"/>
    <w:rsid w:val="00CF0EDF"/>
    <w:rsid w:val="00CF12B7"/>
    <w:rsid w:val="00CF15CD"/>
    <w:rsid w:val="00CF1672"/>
    <w:rsid w:val="00CF2B8B"/>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A12BE"/>
    <w:rsid w:val="00DA1D05"/>
    <w:rsid w:val="00DA1FF3"/>
    <w:rsid w:val="00DA2791"/>
    <w:rsid w:val="00DA279D"/>
    <w:rsid w:val="00DA6320"/>
    <w:rsid w:val="00DA670D"/>
    <w:rsid w:val="00DA78DB"/>
    <w:rsid w:val="00DB0112"/>
    <w:rsid w:val="00DB0148"/>
    <w:rsid w:val="00DB0FBC"/>
    <w:rsid w:val="00DB110C"/>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F8C"/>
    <w:rsid w:val="00DD31EB"/>
    <w:rsid w:val="00DD327E"/>
    <w:rsid w:val="00DD34BD"/>
    <w:rsid w:val="00DD44C1"/>
    <w:rsid w:val="00DE0228"/>
    <w:rsid w:val="00DE0658"/>
    <w:rsid w:val="00DE106C"/>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5ADF"/>
    <w:rsid w:val="00DF61A6"/>
    <w:rsid w:val="00DF6BCF"/>
    <w:rsid w:val="00DF6C5C"/>
    <w:rsid w:val="00DF720D"/>
    <w:rsid w:val="00E0038F"/>
    <w:rsid w:val="00E00658"/>
    <w:rsid w:val="00E00BA8"/>
    <w:rsid w:val="00E01421"/>
    <w:rsid w:val="00E0452F"/>
    <w:rsid w:val="00E05302"/>
    <w:rsid w:val="00E06996"/>
    <w:rsid w:val="00E0799A"/>
    <w:rsid w:val="00E1001F"/>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EA3"/>
    <w:rsid w:val="00E87009"/>
    <w:rsid w:val="00E903B4"/>
    <w:rsid w:val="00E9087D"/>
    <w:rsid w:val="00E9162E"/>
    <w:rsid w:val="00E92937"/>
    <w:rsid w:val="00E931C3"/>
    <w:rsid w:val="00E93EF7"/>
    <w:rsid w:val="00E94065"/>
    <w:rsid w:val="00E94174"/>
    <w:rsid w:val="00E95DE9"/>
    <w:rsid w:val="00E96141"/>
    <w:rsid w:val="00E96623"/>
    <w:rsid w:val="00EA0371"/>
    <w:rsid w:val="00EA0390"/>
    <w:rsid w:val="00EA2CDC"/>
    <w:rsid w:val="00EA399C"/>
    <w:rsid w:val="00EA4106"/>
    <w:rsid w:val="00EA4DBD"/>
    <w:rsid w:val="00EA6E84"/>
    <w:rsid w:val="00EB1BF8"/>
    <w:rsid w:val="00EB2CEE"/>
    <w:rsid w:val="00EB5812"/>
    <w:rsid w:val="00EB5E58"/>
    <w:rsid w:val="00EB60B3"/>
    <w:rsid w:val="00EB63DE"/>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421"/>
    <w:rsid w:val="00F516CA"/>
    <w:rsid w:val="00F539A0"/>
    <w:rsid w:val="00F54813"/>
    <w:rsid w:val="00F549B5"/>
    <w:rsid w:val="00F5634A"/>
    <w:rsid w:val="00F56817"/>
    <w:rsid w:val="00F57131"/>
    <w:rsid w:val="00F60383"/>
    <w:rsid w:val="00F616F3"/>
    <w:rsid w:val="00F61EB9"/>
    <w:rsid w:val="00F621F6"/>
    <w:rsid w:val="00F629E8"/>
    <w:rsid w:val="00F62A97"/>
    <w:rsid w:val="00F65E70"/>
    <w:rsid w:val="00F66940"/>
    <w:rsid w:val="00F66C3F"/>
    <w:rsid w:val="00F70206"/>
    <w:rsid w:val="00F70CF3"/>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5B27"/>
    <w:rsid w:val="00F8720F"/>
    <w:rsid w:val="00F872D0"/>
    <w:rsid w:val="00F87ABB"/>
    <w:rsid w:val="00F87E82"/>
    <w:rsid w:val="00F87EC0"/>
    <w:rsid w:val="00F904A0"/>
    <w:rsid w:val="00F9056D"/>
    <w:rsid w:val="00F91174"/>
    <w:rsid w:val="00F91318"/>
    <w:rsid w:val="00F9133B"/>
    <w:rsid w:val="00F92B7E"/>
    <w:rsid w:val="00F92D57"/>
    <w:rsid w:val="00F9524A"/>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D0D"/>
    <w:rsid w:val="00FB3451"/>
    <w:rsid w:val="00FB4417"/>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0D0"/>
    <w:pPr>
      <w:widowControl w:val="0"/>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Task Body"/>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eastAsia="MS Mincho"/>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basedOn w:val="a"/>
    <w:rsid w:val="00CF57AF"/>
    <w:pPr>
      <w:keepLines/>
      <w:widowControl/>
      <w:spacing w:after="240"/>
      <w:jc w:val="center"/>
    </w:pPr>
    <w:rPr>
      <w:rFonts w:ascii="Arial" w:eastAsia="Times New Roman" w:hAnsi="Arial"/>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8E1-CB48-4531-9F2A-FD5437FA1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2627</Words>
  <Characters>14979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Hudan</cp:lastModifiedBy>
  <cp:revision>3</cp:revision>
  <dcterms:created xsi:type="dcterms:W3CDTF">2023-05-15T02:56:00Z</dcterms:created>
  <dcterms:modified xsi:type="dcterms:W3CDTF">2023-05-15T14:14:00Z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(3)rW2nD6uaE2KLj59D3JuUWzVw4HKInGRwesJrYJF35HKyU/RsOLfJnT9xPMUgeS/u4bDczSay
dJQSiIJiq5gzPcy8H11c2PqXcIUv5pTz3aLRIrIIQGDtkFxAfARMMzSEOdSD3klt5sm04gXX
EksqZc1m0/isG7wWz+vLhjXugO65gizIddUPso5ApV+cUmSjZ1QnLnH8MAB9xh21yqxFKzn0
A8VGEjTSaAx3XLsylf</vt:lpwstr>
  </property>
  <property fmtid="{D5CDD505-2E9C-101B-9397-08002B2CF9AE}" pid="3" name="_2015_ms_pID_7253431">
    <vt:lpwstr>0E51LswWDo5e3DkTM7T3SBC6EOzorOp1jFzyEHPVTexWRV9QIifHOJ
NX/CLfE/yaMOklB6c1nLEALpHfW6cWjPWYKQn4Iqslo5D7Tg7BHXEgVSKDduffvIvhF5jneY
HPyBkCDOxRj+VCLrqRVAXOzXIKNV+N8YCGgQhuEZ7VQJXuO7UOrPP2/7LCMyp/A6XVOQImuI
rPcjRtoGjXB1S4WVVTf5/eRK9Hitw5Tv6m6h</vt:lpwstr>
  </property>
  <property fmtid="{D5CDD505-2E9C-101B-9397-08002B2CF9AE}" pid="4" name="_2015_ms_pID_7253432">
    <vt:lpwstr>3dphX7vqsR8sG3cmTmFMGrE=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1683809498</vt:lpwstr>
  </property>
</Properties>
</file>